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hAnsiTheme="majorHAnsi"/>
          <w:sz w:val="20"/>
        </w:rPr>
        <w:id w:val="1851532662"/>
        <w:docPartObj>
          <w:docPartGallery w:val="Cover Pages"/>
          <w:docPartUnique/>
        </w:docPartObj>
      </w:sdtPr>
      <w:sdtEndPr>
        <w:rPr>
          <w:rFonts w:ascii="Book Antiqua" w:hAnsi="Book Antiqua"/>
          <w:sz w:val="22"/>
        </w:rPr>
      </w:sdtEndPr>
      <w:sdtContent>
        <w:tbl>
          <w:tblPr>
            <w:tblW w:w="7441" w:type="dxa"/>
            <w:tblLayout w:type="fixed"/>
            <w:tblCellMar>
              <w:left w:w="70" w:type="dxa"/>
              <w:right w:w="70" w:type="dxa"/>
            </w:tblCellMar>
            <w:tblLook w:val="0000" w:firstRow="0" w:lastRow="0" w:firstColumn="0" w:lastColumn="0" w:noHBand="0" w:noVBand="0"/>
          </w:tblPr>
          <w:tblGrid>
            <w:gridCol w:w="7441"/>
          </w:tblGrid>
          <w:tr w:rsidR="002D2605" w:rsidRPr="0084033D" w:rsidTr="00AD54BD">
            <w:trPr>
              <w:cantSplit/>
              <w:trHeight w:val="995"/>
            </w:trPr>
            <w:tc>
              <w:tcPr>
                <w:tcW w:w="7441" w:type="dxa"/>
              </w:tcPr>
              <w:p w:rsidR="002D2605" w:rsidRPr="0084033D" w:rsidRDefault="002D2605" w:rsidP="002B5184">
                <w:pPr>
                  <w:pStyle w:val="Piska"/>
                  <w:rPr>
                    <w:rFonts w:asciiTheme="majorHAnsi" w:hAnsiTheme="majorHAnsi"/>
                    <w:sz w:val="20"/>
                  </w:rPr>
                </w:pPr>
              </w:p>
              <w:p w:rsidR="002D2605" w:rsidRPr="0084033D" w:rsidRDefault="00371BDE" w:rsidP="00371BDE">
                <w:pPr>
                  <w:pStyle w:val="Rubrik3"/>
                  <w:jc w:val="right"/>
                  <w:rPr>
                    <w:rFonts w:asciiTheme="majorHAnsi" w:eastAsiaTheme="minorHAnsi" w:hAnsiTheme="majorHAnsi"/>
                    <w:b w:val="0"/>
                    <w:sz w:val="20"/>
                    <w:szCs w:val="20"/>
                  </w:rPr>
                </w:pPr>
                <w:r w:rsidRPr="0084033D">
                  <w:rPr>
                    <w:rFonts w:asciiTheme="majorHAnsi" w:eastAsiaTheme="minorHAnsi" w:hAnsiTheme="majorHAnsi"/>
                    <w:b w:val="0"/>
                    <w:sz w:val="20"/>
                    <w:szCs w:val="20"/>
                  </w:rPr>
                  <w:t>2016</w:t>
                </w:r>
                <w:r w:rsidR="002D2605" w:rsidRPr="0084033D">
                  <w:rPr>
                    <w:rFonts w:asciiTheme="majorHAnsi" w:eastAsiaTheme="minorHAnsi" w:hAnsiTheme="majorHAnsi"/>
                    <w:b w:val="0"/>
                    <w:sz w:val="20"/>
                    <w:szCs w:val="20"/>
                  </w:rPr>
                  <w:t>-</w:t>
                </w:r>
                <w:r w:rsidRPr="0084033D">
                  <w:rPr>
                    <w:rFonts w:asciiTheme="majorHAnsi" w:eastAsiaTheme="minorHAnsi" w:hAnsiTheme="majorHAnsi"/>
                    <w:b w:val="0"/>
                    <w:sz w:val="20"/>
                    <w:szCs w:val="20"/>
                  </w:rPr>
                  <w:t>10</w:t>
                </w:r>
                <w:r w:rsidR="002D2605" w:rsidRPr="0084033D">
                  <w:rPr>
                    <w:rFonts w:asciiTheme="majorHAnsi" w:eastAsiaTheme="minorHAnsi" w:hAnsiTheme="majorHAnsi"/>
                    <w:b w:val="0"/>
                    <w:sz w:val="20"/>
                    <w:szCs w:val="20"/>
                  </w:rPr>
                  <w:t>-</w:t>
                </w:r>
                <w:r w:rsidR="0071625F">
                  <w:rPr>
                    <w:rFonts w:asciiTheme="majorHAnsi" w:eastAsiaTheme="minorHAnsi" w:hAnsiTheme="majorHAnsi"/>
                    <w:b w:val="0"/>
                    <w:sz w:val="20"/>
                    <w:szCs w:val="20"/>
                  </w:rPr>
                  <w:t>06</w:t>
                </w:r>
              </w:p>
              <w:p w:rsidR="0084033D" w:rsidRPr="0084033D" w:rsidRDefault="0084033D" w:rsidP="0084033D">
                <w:pPr>
                  <w:jc w:val="right"/>
                  <w:rPr>
                    <w:rFonts w:asciiTheme="majorHAnsi" w:eastAsiaTheme="minorHAnsi" w:hAnsiTheme="majorHAnsi"/>
                    <w:sz w:val="20"/>
                    <w:lang w:eastAsia="en-US"/>
                  </w:rPr>
                </w:pPr>
                <w:r w:rsidRPr="0084033D">
                  <w:rPr>
                    <w:rFonts w:asciiTheme="majorHAnsi" w:eastAsiaTheme="minorHAnsi" w:hAnsiTheme="majorHAnsi"/>
                    <w:sz w:val="20"/>
                    <w:lang w:eastAsia="en-US"/>
                  </w:rPr>
                  <w:t>Dnr 109-2016/4287</w:t>
                </w:r>
              </w:p>
            </w:tc>
          </w:tr>
          <w:tr w:rsidR="00822FD8" w:rsidTr="00AD54BD">
            <w:trPr>
              <w:cantSplit/>
              <w:trHeight w:val="561"/>
            </w:trPr>
            <w:tc>
              <w:tcPr>
                <w:tcW w:w="7441" w:type="dxa"/>
              </w:tcPr>
              <w:p w:rsidR="0084033D" w:rsidRDefault="0084033D" w:rsidP="005632D6">
                <w:pPr>
                  <w:pStyle w:val="Rubrik1"/>
                  <w:spacing w:after="0"/>
                </w:pPr>
              </w:p>
              <w:p w:rsidR="00822FD8" w:rsidRPr="0040734A" w:rsidRDefault="00371BDE" w:rsidP="005632D6">
                <w:pPr>
                  <w:pStyle w:val="Rubrik1"/>
                  <w:spacing w:after="0"/>
                </w:pPr>
                <w:r>
                  <w:t>Bilaga</w:t>
                </w:r>
                <w:r w:rsidR="0084033D">
                  <w:t xml:space="preserve"> till delredovisning av uppdraget Effekter och konsekvenser av öppna data</w:t>
                </w:r>
              </w:p>
              <w:p w:rsidR="00822FD8" w:rsidRDefault="005632D6" w:rsidP="002B5184">
                <w:pPr>
                  <w:tabs>
                    <w:tab w:val="clear" w:pos="1134"/>
                    <w:tab w:val="clear" w:pos="2268"/>
                    <w:tab w:val="clear" w:pos="3402"/>
                    <w:tab w:val="clear" w:pos="4536"/>
                    <w:tab w:val="clear" w:pos="5670"/>
                  </w:tabs>
                  <w:autoSpaceDE w:val="0"/>
                  <w:autoSpaceDN w:val="0"/>
                  <w:adjustRightInd w:val="0"/>
                  <w:spacing w:after="0"/>
                  <w:rPr>
                    <w:rFonts w:ascii="Verdana" w:eastAsiaTheme="minorHAnsi" w:hAnsi="Verdana" w:cs="Verdana"/>
                    <w:sz w:val="20"/>
                    <w:lang w:eastAsia="en-US"/>
                  </w:rPr>
                </w:pPr>
                <w:r>
                  <w:rPr>
                    <w:noProof/>
                  </w:rPr>
                  <mc:AlternateContent>
                    <mc:Choice Requires="wps">
                      <w:drawing>
                        <wp:anchor distT="0" distB="0" distL="114300" distR="114300" simplePos="0" relativeHeight="251659264" behindDoc="0" locked="0" layoutInCell="1" allowOverlap="1" wp14:anchorId="23BF078B" wp14:editId="7291191D">
                          <wp:simplePos x="0" y="0"/>
                          <wp:positionH relativeFrom="column">
                            <wp:posOffset>-20955</wp:posOffset>
                          </wp:positionH>
                          <wp:positionV relativeFrom="paragraph">
                            <wp:posOffset>85725</wp:posOffset>
                          </wp:positionV>
                          <wp:extent cx="4686300" cy="9525"/>
                          <wp:effectExtent l="19050" t="38100" r="19050" b="47625"/>
                          <wp:wrapNone/>
                          <wp:docPr id="2" name="Rak 2"/>
                          <wp:cNvGraphicFramePr/>
                          <a:graphic xmlns:a="http://schemas.openxmlformats.org/drawingml/2006/main">
                            <a:graphicData uri="http://schemas.microsoft.com/office/word/2010/wordprocessingShape">
                              <wps:wsp>
                                <wps:cNvCnPr/>
                                <wps:spPr>
                                  <a:xfrm>
                                    <a:off x="0" y="0"/>
                                    <a:ext cx="4686300" cy="9525"/>
                                  </a:xfrm>
                                  <a:prstGeom prst="line">
                                    <a:avLst/>
                                  </a:prstGeom>
                                  <a:ln w="76200">
                                    <a:solidFill>
                                      <a:schemeClr val="bg1">
                                        <a:lumMod val="75000"/>
                                      </a:schemeClr>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7DE9B73" id="Rak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6.75pt" to="36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" strokecolor="#bfbfbf [2412]" strokeweight="6pt"/>
                      </w:pict>
                    </mc:Fallback>
                  </mc:AlternateContent>
                </w:r>
              </w:p>
            </w:tc>
          </w:tr>
        </w:tbl>
      </w:sdtContent>
    </w:sdt>
    <w:p w:rsidR="00371BDE" w:rsidRDefault="00371BDE" w:rsidP="00091F39"/>
    <w:p w:rsidR="005E73BF" w:rsidRDefault="005E73BF" w:rsidP="00091F39"/>
    <w:p w:rsidR="005E73BF" w:rsidRDefault="005E73BF" w:rsidP="00091F39"/>
    <w:p w:rsidR="00371BDE" w:rsidRDefault="00371BDE" w:rsidP="00371BDE">
      <w:pPr>
        <w:rPr>
          <w:b/>
          <w:sz w:val="24"/>
          <w:szCs w:val="24"/>
        </w:rPr>
      </w:pPr>
    </w:p>
    <w:p w:rsidR="005E73BF" w:rsidRDefault="005E73BF" w:rsidP="00371BDE">
      <w:pPr>
        <w:rPr>
          <w:b/>
          <w:sz w:val="24"/>
          <w:szCs w:val="24"/>
        </w:rPr>
      </w:pPr>
    </w:p>
    <w:p w:rsidR="005E73BF" w:rsidRDefault="005E73BF" w:rsidP="00371BDE">
      <w:pPr>
        <w:rPr>
          <w:b/>
          <w:sz w:val="24"/>
          <w:szCs w:val="24"/>
        </w:rPr>
      </w:pPr>
    </w:p>
    <w:p w:rsidR="005E73BF" w:rsidRDefault="005E73BF" w:rsidP="00371BDE">
      <w:pPr>
        <w:rPr>
          <w:b/>
          <w:sz w:val="24"/>
          <w:szCs w:val="24"/>
        </w:rPr>
      </w:pPr>
    </w:p>
    <w:p w:rsidR="005E73BF" w:rsidRDefault="005E73BF" w:rsidP="00371BDE">
      <w:pPr>
        <w:rPr>
          <w:b/>
          <w:sz w:val="24"/>
          <w:szCs w:val="24"/>
        </w:rPr>
      </w:pPr>
      <w:bookmarkStart w:id="0" w:name="_GoBack"/>
      <w:bookmarkEnd w:id="0"/>
    </w:p>
    <w:p w:rsidR="005E73BF" w:rsidRDefault="005E73BF" w:rsidP="00371BDE">
      <w:pPr>
        <w:rPr>
          <w:b/>
          <w:sz w:val="24"/>
          <w:szCs w:val="24"/>
        </w:rPr>
      </w:pPr>
    </w:p>
    <w:p w:rsidR="005E73BF" w:rsidRDefault="005E73BF" w:rsidP="00371BDE">
      <w:pPr>
        <w:rPr>
          <w:b/>
          <w:sz w:val="24"/>
          <w:szCs w:val="24"/>
        </w:rPr>
      </w:pPr>
    </w:p>
    <w:p w:rsidR="005E73BF" w:rsidRPr="00C23E6F" w:rsidRDefault="005E73BF" w:rsidP="005E73BF">
      <w:pPr>
        <w:pStyle w:val="Rubrik1"/>
        <w:rPr>
          <w:sz w:val="34"/>
          <w:szCs w:val="34"/>
        </w:rPr>
      </w:pPr>
      <w:r w:rsidRPr="00C23E6F">
        <w:rPr>
          <w:sz w:val="34"/>
          <w:szCs w:val="34"/>
        </w:rPr>
        <w:t xml:space="preserve">Öppna </w:t>
      </w:r>
      <w:proofErr w:type="spellStart"/>
      <w:r w:rsidRPr="00C23E6F">
        <w:rPr>
          <w:sz w:val="34"/>
          <w:szCs w:val="34"/>
        </w:rPr>
        <w:t>geodata</w:t>
      </w:r>
      <w:proofErr w:type="spellEnd"/>
      <w:r w:rsidRPr="00C23E6F">
        <w:rPr>
          <w:sz w:val="34"/>
          <w:szCs w:val="34"/>
        </w:rPr>
        <w:t xml:space="preserve"> från Lantmäteriet </w:t>
      </w:r>
    </w:p>
    <w:p w:rsidR="005E73BF" w:rsidRDefault="005E73BF" w:rsidP="005E73BF">
      <w:pPr>
        <w:pStyle w:val="Rubrik1"/>
        <w:rPr>
          <w:sz w:val="34"/>
          <w:szCs w:val="34"/>
        </w:rPr>
      </w:pPr>
      <w:r w:rsidRPr="00371BDE">
        <w:rPr>
          <w:sz w:val="34"/>
          <w:szCs w:val="34"/>
        </w:rPr>
        <w:t>Reviderat finansieringsbehov</w:t>
      </w:r>
    </w:p>
    <w:p w:rsidR="005E73BF" w:rsidRPr="005E73BF" w:rsidRDefault="005E73BF" w:rsidP="005E73BF">
      <w:pPr>
        <w:rPr>
          <w:lang w:eastAsia="en-US"/>
        </w:rPr>
      </w:pPr>
    </w:p>
    <w:p w:rsidR="005E73BF" w:rsidRPr="005E73BF" w:rsidRDefault="005E73BF" w:rsidP="005E73BF">
      <w:pPr>
        <w:rPr>
          <w:lang w:eastAsia="en-US"/>
        </w:rPr>
      </w:pPr>
    </w:p>
    <w:p w:rsidR="005E73BF" w:rsidRPr="005E73BF" w:rsidRDefault="005E73BF" w:rsidP="005E73BF">
      <w:pPr>
        <w:rPr>
          <w:lang w:eastAsia="en-US"/>
        </w:rPr>
      </w:pPr>
    </w:p>
    <w:p w:rsidR="005E73BF" w:rsidRPr="005E73BF" w:rsidRDefault="005E73BF" w:rsidP="005E73BF">
      <w:pPr>
        <w:rPr>
          <w:lang w:eastAsia="en-US"/>
        </w:rPr>
      </w:pPr>
    </w:p>
    <w:p w:rsidR="005E73BF" w:rsidRPr="005E73BF" w:rsidRDefault="005E73BF" w:rsidP="005E73BF">
      <w:pPr>
        <w:rPr>
          <w:lang w:eastAsia="en-US"/>
        </w:rPr>
      </w:pPr>
    </w:p>
    <w:p w:rsidR="005E73BF" w:rsidRPr="005E73BF" w:rsidRDefault="005E73BF" w:rsidP="005E73BF">
      <w:pPr>
        <w:rPr>
          <w:lang w:eastAsia="en-US"/>
        </w:rPr>
      </w:pPr>
    </w:p>
    <w:p w:rsidR="005E73BF" w:rsidRPr="005E73BF" w:rsidRDefault="005E73BF" w:rsidP="005E73BF">
      <w:pPr>
        <w:rPr>
          <w:lang w:eastAsia="en-US"/>
        </w:rPr>
      </w:pPr>
    </w:p>
    <w:p w:rsidR="005E73BF" w:rsidRPr="005E73BF" w:rsidRDefault="005E73BF" w:rsidP="005E73BF">
      <w:pPr>
        <w:rPr>
          <w:lang w:eastAsia="en-US"/>
        </w:rPr>
      </w:pPr>
    </w:p>
    <w:p w:rsidR="005E73BF" w:rsidRPr="005E73BF" w:rsidRDefault="005E73BF" w:rsidP="005E73BF">
      <w:pPr>
        <w:rPr>
          <w:lang w:eastAsia="en-US"/>
        </w:rPr>
      </w:pPr>
    </w:p>
    <w:p w:rsidR="005E73BF" w:rsidRPr="005E73BF" w:rsidRDefault="005E73BF" w:rsidP="005E73BF">
      <w:pPr>
        <w:rPr>
          <w:lang w:eastAsia="en-US"/>
        </w:rPr>
      </w:pPr>
    </w:p>
    <w:p w:rsidR="005E73BF" w:rsidRPr="005E73BF" w:rsidRDefault="005E73BF" w:rsidP="005E73BF">
      <w:pPr>
        <w:rPr>
          <w:lang w:eastAsia="en-US"/>
        </w:rPr>
      </w:pPr>
    </w:p>
    <w:p w:rsidR="005E73BF" w:rsidRPr="005E73BF" w:rsidRDefault="005E73BF" w:rsidP="005E73BF">
      <w:pPr>
        <w:rPr>
          <w:lang w:eastAsia="en-US"/>
        </w:rPr>
      </w:pPr>
    </w:p>
    <w:p w:rsidR="005E73BF" w:rsidRPr="005E73BF" w:rsidRDefault="005E73BF" w:rsidP="005E73BF">
      <w:pPr>
        <w:rPr>
          <w:lang w:eastAsia="en-US"/>
        </w:rPr>
      </w:pPr>
    </w:p>
    <w:p w:rsidR="005E73BF" w:rsidRDefault="005E73BF" w:rsidP="005E73BF">
      <w:pPr>
        <w:tabs>
          <w:tab w:val="clear" w:pos="1134"/>
          <w:tab w:val="clear" w:pos="2268"/>
          <w:tab w:val="clear" w:pos="3402"/>
          <w:tab w:val="clear" w:pos="4536"/>
          <w:tab w:val="clear" w:pos="5670"/>
          <w:tab w:val="left" w:pos="284"/>
        </w:tabs>
        <w:rPr>
          <w:lang w:eastAsia="en-US"/>
        </w:rPr>
      </w:pPr>
    </w:p>
    <w:p w:rsidR="005E73BF" w:rsidRDefault="005E73BF" w:rsidP="005E73BF">
      <w:pPr>
        <w:tabs>
          <w:tab w:val="clear" w:pos="1134"/>
          <w:tab w:val="clear" w:pos="2268"/>
          <w:tab w:val="clear" w:pos="3402"/>
          <w:tab w:val="clear" w:pos="4536"/>
          <w:tab w:val="clear" w:pos="5670"/>
          <w:tab w:val="left" w:pos="284"/>
        </w:tabs>
        <w:rPr>
          <w:lang w:eastAsia="en-US"/>
        </w:rPr>
      </w:pPr>
    </w:p>
    <w:p w:rsidR="005E73BF" w:rsidRPr="00E50958" w:rsidRDefault="005E73BF" w:rsidP="005E73BF">
      <w:pPr>
        <w:pStyle w:val="Rubrik3"/>
      </w:pPr>
      <w:r w:rsidRPr="00E50958">
        <w:t>Bakgrund</w:t>
      </w:r>
    </w:p>
    <w:p w:rsidR="005E73BF" w:rsidRPr="00E50958" w:rsidRDefault="005E73BF" w:rsidP="005E73BF">
      <w:pPr>
        <w:rPr>
          <w:sz w:val="24"/>
          <w:szCs w:val="24"/>
        </w:rPr>
      </w:pPr>
      <w:r w:rsidRPr="00E50958">
        <w:rPr>
          <w:sz w:val="24"/>
          <w:szCs w:val="24"/>
        </w:rPr>
        <w:t xml:space="preserve">Lantmäteriets </w:t>
      </w:r>
      <w:proofErr w:type="spellStart"/>
      <w:r w:rsidRPr="00E50958">
        <w:rPr>
          <w:sz w:val="24"/>
          <w:szCs w:val="24"/>
        </w:rPr>
        <w:t>geodata</w:t>
      </w:r>
      <w:proofErr w:type="spellEnd"/>
      <w:r w:rsidRPr="00E50958">
        <w:rPr>
          <w:sz w:val="24"/>
          <w:szCs w:val="24"/>
        </w:rPr>
        <w:t xml:space="preserve"> är nödvändiga för positionsbestämning, navigering och redovisning av lägen hos olika företeelser och händelser i samhället. De är därför en viktig </w:t>
      </w:r>
      <w:r w:rsidRPr="00E50958">
        <w:rPr>
          <w:sz w:val="24"/>
          <w:szCs w:val="24"/>
        </w:rPr>
        <w:lastRenderedPageBreak/>
        <w:t>förutsättning för en mängd olika verksamheter och utmaningar som Sverige står inför när det gäller t</w:t>
      </w:r>
      <w:r>
        <w:rPr>
          <w:sz w:val="24"/>
          <w:szCs w:val="24"/>
        </w:rPr>
        <w:t>ill exempel</w:t>
      </w:r>
      <w:r w:rsidRPr="00E50958">
        <w:rPr>
          <w:sz w:val="24"/>
          <w:szCs w:val="24"/>
        </w:rPr>
        <w:t xml:space="preserve"> samhällsbyggandet, digitaliseringen av processerna i samhället, de areella näringarna, klimatanpassning och miljö samt totalförsvar och säkerhet. Geodatas betydelse på dessa områden har också tydliggjorts i den nya nationella geodatastrategin.</w:t>
      </w:r>
    </w:p>
    <w:p w:rsidR="005E73BF" w:rsidRPr="00E50958" w:rsidRDefault="005E73BF" w:rsidP="005E73BF">
      <w:pPr>
        <w:rPr>
          <w:sz w:val="24"/>
          <w:szCs w:val="24"/>
        </w:rPr>
      </w:pPr>
      <w:r w:rsidRPr="00E50958">
        <w:rPr>
          <w:sz w:val="24"/>
          <w:szCs w:val="24"/>
        </w:rPr>
        <w:t xml:space="preserve">Lantmäteriet har sedan 2013 uppmärksammat avgiftsfinansieringen av </w:t>
      </w:r>
      <w:proofErr w:type="spellStart"/>
      <w:r w:rsidRPr="00E50958">
        <w:rPr>
          <w:sz w:val="24"/>
          <w:szCs w:val="24"/>
        </w:rPr>
        <w:t>geodata</w:t>
      </w:r>
      <w:proofErr w:type="spellEnd"/>
      <w:r w:rsidRPr="00E50958">
        <w:rPr>
          <w:sz w:val="24"/>
          <w:szCs w:val="24"/>
        </w:rPr>
        <w:t xml:space="preserve"> som ett växande problem. Avgiftsfinansieringen hindrar en samhällsekonomiskt optimal användning av </w:t>
      </w:r>
      <w:proofErr w:type="spellStart"/>
      <w:r w:rsidRPr="00E50958">
        <w:rPr>
          <w:sz w:val="24"/>
          <w:szCs w:val="24"/>
        </w:rPr>
        <w:t>geodata</w:t>
      </w:r>
      <w:proofErr w:type="spellEnd"/>
      <w:r w:rsidRPr="00E50958">
        <w:rPr>
          <w:sz w:val="24"/>
          <w:szCs w:val="24"/>
        </w:rPr>
        <w:t xml:space="preserve">. Det gäller såväl avgifterna för data som de licensvillkor som idag måste ställas upp för vidarespridning och vidareutnyttjande. Detta hindrar innovation, utveckling och att bästa tillgängliga information, kartor, höjddata, </w:t>
      </w:r>
      <w:proofErr w:type="spellStart"/>
      <w:r w:rsidRPr="00E50958">
        <w:rPr>
          <w:sz w:val="24"/>
          <w:szCs w:val="24"/>
        </w:rPr>
        <w:t>ortofoton</w:t>
      </w:r>
      <w:proofErr w:type="spellEnd"/>
      <w:r w:rsidRPr="00E50958">
        <w:rPr>
          <w:sz w:val="24"/>
          <w:szCs w:val="24"/>
        </w:rPr>
        <w:t xml:space="preserve">, adresser och annan grundläggande </w:t>
      </w:r>
      <w:proofErr w:type="spellStart"/>
      <w:r w:rsidRPr="00E50958">
        <w:rPr>
          <w:sz w:val="24"/>
          <w:szCs w:val="24"/>
        </w:rPr>
        <w:t>geodata</w:t>
      </w:r>
      <w:proofErr w:type="spellEnd"/>
      <w:r w:rsidRPr="00E50958">
        <w:rPr>
          <w:sz w:val="24"/>
          <w:szCs w:val="24"/>
        </w:rPr>
        <w:t xml:space="preserve"> från Lantmäteriet används i samhället. Om </w:t>
      </w:r>
      <w:proofErr w:type="spellStart"/>
      <w:r w:rsidRPr="00E50958">
        <w:rPr>
          <w:sz w:val="24"/>
          <w:szCs w:val="24"/>
        </w:rPr>
        <w:t>geodata</w:t>
      </w:r>
      <w:proofErr w:type="spellEnd"/>
      <w:r w:rsidRPr="00E50958">
        <w:rPr>
          <w:sz w:val="24"/>
          <w:szCs w:val="24"/>
        </w:rPr>
        <w:t xml:space="preserve"> istället vore öppna, d</w:t>
      </w:r>
      <w:r>
        <w:rPr>
          <w:sz w:val="24"/>
          <w:szCs w:val="24"/>
        </w:rPr>
        <w:t>et vill säga</w:t>
      </w:r>
      <w:r w:rsidRPr="00E50958">
        <w:rPr>
          <w:sz w:val="24"/>
          <w:szCs w:val="24"/>
        </w:rPr>
        <w:t xml:space="preserve"> avgiftsfria och utan restriktioner för vidarespridning, skulle en stor potential för innovation och en mer effektiv samhällsutveckling skapas. Öppna </w:t>
      </w:r>
      <w:proofErr w:type="spellStart"/>
      <w:r w:rsidRPr="00E50958">
        <w:rPr>
          <w:sz w:val="24"/>
          <w:szCs w:val="24"/>
        </w:rPr>
        <w:t>geodata</w:t>
      </w:r>
      <w:proofErr w:type="spellEnd"/>
      <w:r w:rsidRPr="00E50958">
        <w:rPr>
          <w:sz w:val="24"/>
          <w:szCs w:val="24"/>
        </w:rPr>
        <w:t xml:space="preserve"> är ett centralt mål i den nya </w:t>
      </w:r>
      <w:proofErr w:type="spellStart"/>
      <w:r w:rsidRPr="00E50958">
        <w:rPr>
          <w:sz w:val="24"/>
          <w:szCs w:val="24"/>
        </w:rPr>
        <w:t>natio</w:t>
      </w:r>
      <w:r w:rsidR="0071625F">
        <w:rPr>
          <w:sz w:val="24"/>
          <w:szCs w:val="24"/>
        </w:rPr>
        <w:t>-</w:t>
      </w:r>
      <w:r w:rsidRPr="00E50958">
        <w:rPr>
          <w:sz w:val="24"/>
          <w:szCs w:val="24"/>
        </w:rPr>
        <w:t>nella</w:t>
      </w:r>
      <w:proofErr w:type="spellEnd"/>
      <w:r w:rsidRPr="00E50958">
        <w:rPr>
          <w:sz w:val="24"/>
          <w:szCs w:val="24"/>
        </w:rPr>
        <w:t xml:space="preserve"> geodatastrategin. För att understryka </w:t>
      </w:r>
      <w:r w:rsidRPr="00E50958">
        <w:rPr>
          <w:sz w:val="24"/>
          <w:szCs w:val="24"/>
        </w:rPr>
        <w:lastRenderedPageBreak/>
        <w:t xml:space="preserve">betydelsen av att centrala </w:t>
      </w:r>
      <w:proofErr w:type="spellStart"/>
      <w:r w:rsidRPr="00E50958">
        <w:rPr>
          <w:sz w:val="24"/>
          <w:szCs w:val="24"/>
        </w:rPr>
        <w:t>geodata</w:t>
      </w:r>
      <w:proofErr w:type="spellEnd"/>
      <w:r w:rsidRPr="00E50958">
        <w:rPr>
          <w:sz w:val="24"/>
          <w:szCs w:val="24"/>
        </w:rPr>
        <w:t xml:space="preserve"> från Lantmäteriet blir öppna data överlämnade de </w:t>
      </w:r>
      <w:proofErr w:type="spellStart"/>
      <w:r w:rsidRPr="00E50958">
        <w:rPr>
          <w:sz w:val="24"/>
          <w:szCs w:val="24"/>
        </w:rPr>
        <w:t>organisa</w:t>
      </w:r>
      <w:r w:rsidR="0071625F">
        <w:rPr>
          <w:sz w:val="24"/>
          <w:szCs w:val="24"/>
        </w:rPr>
        <w:t>-</w:t>
      </w:r>
      <w:r w:rsidRPr="00E50958">
        <w:rPr>
          <w:sz w:val="24"/>
          <w:szCs w:val="24"/>
        </w:rPr>
        <w:t>tioner</w:t>
      </w:r>
      <w:proofErr w:type="spellEnd"/>
      <w:r w:rsidRPr="00E50958">
        <w:rPr>
          <w:sz w:val="24"/>
          <w:szCs w:val="24"/>
        </w:rPr>
        <w:t xml:space="preserve"> som är företrädda i Geodatarådet i juni 2016 en särskild skrivelse till regeringen i frågan. </w:t>
      </w:r>
    </w:p>
    <w:p w:rsidR="005E73BF" w:rsidRPr="00E50958" w:rsidRDefault="005E73BF" w:rsidP="005E73BF">
      <w:pPr>
        <w:rPr>
          <w:sz w:val="24"/>
          <w:szCs w:val="24"/>
        </w:rPr>
      </w:pPr>
      <w:r w:rsidRPr="00E50958">
        <w:rPr>
          <w:sz w:val="24"/>
          <w:szCs w:val="24"/>
        </w:rPr>
        <w:t xml:space="preserve">Lantmäteriet genomförde 2013 en analys av myndighetens </w:t>
      </w:r>
      <w:proofErr w:type="spellStart"/>
      <w:r w:rsidRPr="00E50958">
        <w:rPr>
          <w:sz w:val="24"/>
          <w:szCs w:val="24"/>
        </w:rPr>
        <w:t>geodata</w:t>
      </w:r>
      <w:proofErr w:type="spellEnd"/>
      <w:r w:rsidRPr="00E50958">
        <w:rPr>
          <w:sz w:val="24"/>
          <w:szCs w:val="24"/>
        </w:rPr>
        <w:t xml:space="preserve"> för att identifiera den information som skulle vara mest betydelsefull att öppna upp för</w:t>
      </w:r>
      <w:r w:rsidR="0071625F">
        <w:rPr>
          <w:sz w:val="24"/>
          <w:szCs w:val="24"/>
        </w:rPr>
        <w:t xml:space="preserve"> att</w:t>
      </w:r>
      <w:r w:rsidRPr="00E50958">
        <w:rPr>
          <w:sz w:val="24"/>
          <w:szCs w:val="24"/>
        </w:rPr>
        <w:t xml:space="preserve"> möta de ökande behoven i samhället. Hit räknades Lantmäteriets höjd- och bildinformation, kartdata, adresser samt en satellitbaserad positioneringstjänst med meternoggrannhet. Utgångspunkten för beräkningen var förlorade avgiftsintä</w:t>
      </w:r>
      <w:r w:rsidR="0071625F">
        <w:rPr>
          <w:sz w:val="24"/>
          <w:szCs w:val="24"/>
        </w:rPr>
        <w:t>kter, men hänsyn togs även till bedömda</w:t>
      </w:r>
      <w:r w:rsidRPr="00E50958">
        <w:rPr>
          <w:sz w:val="24"/>
          <w:szCs w:val="24"/>
        </w:rPr>
        <w:t xml:space="preserve"> investeringar i nya distributionslösningar samt nödvändiga rationaliseringar. Bedömningen var då att detta motsvarar ett belopp om c</w:t>
      </w:r>
      <w:r>
        <w:rPr>
          <w:sz w:val="24"/>
          <w:szCs w:val="24"/>
        </w:rPr>
        <w:t>irk</w:t>
      </w:r>
      <w:r w:rsidRPr="00E50958">
        <w:rPr>
          <w:sz w:val="24"/>
          <w:szCs w:val="24"/>
        </w:rPr>
        <w:t>a 100 mnkr per år. Lantmäteriet har i budgetunderlagen för 2016-18 respektive 2017-19 framställt yrkanden i linje med detta.</w:t>
      </w:r>
    </w:p>
    <w:p w:rsidR="005E73BF" w:rsidRPr="00E50958" w:rsidRDefault="005E73BF" w:rsidP="005E73BF">
      <w:pPr>
        <w:rPr>
          <w:sz w:val="24"/>
          <w:szCs w:val="24"/>
        </w:rPr>
      </w:pPr>
      <w:r w:rsidRPr="00E50958">
        <w:rPr>
          <w:sz w:val="24"/>
          <w:szCs w:val="24"/>
        </w:rPr>
        <w:t xml:space="preserve">För att stimulera och bidra till ökad innovation och för att få erfarenheter kring öppna data har Lantmäteriet i två steg (2015-07-01 och 2016-01-01) öppnat upp delar av den </w:t>
      </w:r>
      <w:r w:rsidRPr="00E50958">
        <w:rPr>
          <w:sz w:val="24"/>
          <w:szCs w:val="24"/>
        </w:rPr>
        <w:lastRenderedPageBreak/>
        <w:t xml:space="preserve">översiktliga informationen (småskaliga kartor, en förenklad höjdmodell och den positioneringstjänst som fanns med i Lantmäteriets ursprungliga bedömning). De hittillsvarande erfarenheterna av denna åtgärd är goda och verifierar på många sätt betydelsen av att även mer detaljerade </w:t>
      </w:r>
      <w:proofErr w:type="spellStart"/>
      <w:r w:rsidRPr="00E50958">
        <w:rPr>
          <w:sz w:val="24"/>
          <w:szCs w:val="24"/>
        </w:rPr>
        <w:t>geodata</w:t>
      </w:r>
      <w:proofErr w:type="spellEnd"/>
      <w:r w:rsidRPr="00E50958">
        <w:rPr>
          <w:sz w:val="24"/>
          <w:szCs w:val="24"/>
        </w:rPr>
        <w:t xml:space="preserve"> görs tillgängliga som öppna data.</w:t>
      </w:r>
    </w:p>
    <w:p w:rsidR="005E73BF" w:rsidRPr="00E50958" w:rsidRDefault="005E73BF" w:rsidP="005E73BF">
      <w:pPr>
        <w:rPr>
          <w:sz w:val="24"/>
          <w:szCs w:val="24"/>
        </w:rPr>
      </w:pPr>
      <w:r w:rsidRPr="00E50958">
        <w:rPr>
          <w:sz w:val="24"/>
          <w:szCs w:val="24"/>
        </w:rPr>
        <w:t xml:space="preserve">Lantmäteriet har via en aktiv dialog bland olika användargrupper och intresseorganisationer fått starkt stöd för tankarna kring vilka </w:t>
      </w:r>
      <w:proofErr w:type="spellStart"/>
      <w:r w:rsidRPr="00E50958">
        <w:rPr>
          <w:sz w:val="24"/>
          <w:szCs w:val="24"/>
        </w:rPr>
        <w:t>geodata</w:t>
      </w:r>
      <w:proofErr w:type="spellEnd"/>
      <w:r w:rsidRPr="00E50958">
        <w:rPr>
          <w:sz w:val="24"/>
          <w:szCs w:val="24"/>
        </w:rPr>
        <w:t xml:space="preserve"> som behöver öppnas upp. De mest prioriterade åtgärderna som pekats ut av användarna är följande: </w:t>
      </w:r>
    </w:p>
    <w:p w:rsidR="005E73BF" w:rsidRPr="00E50958" w:rsidRDefault="005E73BF" w:rsidP="005E73BF">
      <w:pPr>
        <w:pStyle w:val="Liststycke"/>
        <w:numPr>
          <w:ilvl w:val="0"/>
          <w:numId w:val="9"/>
        </w:numPr>
        <w:tabs>
          <w:tab w:val="clear" w:pos="1134"/>
          <w:tab w:val="clear" w:pos="2268"/>
          <w:tab w:val="clear" w:pos="3402"/>
          <w:tab w:val="clear" w:pos="4536"/>
          <w:tab w:val="clear" w:pos="5670"/>
        </w:tabs>
        <w:spacing w:before="120" w:after="0" w:line="259" w:lineRule="auto"/>
        <w:contextualSpacing w:val="0"/>
        <w:rPr>
          <w:sz w:val="24"/>
          <w:szCs w:val="24"/>
        </w:rPr>
      </w:pPr>
      <w:r w:rsidRPr="00E50958">
        <w:rPr>
          <w:sz w:val="24"/>
          <w:szCs w:val="24"/>
        </w:rPr>
        <w:t xml:space="preserve">Många användare, särskilt kommunerna, har betonat vikten av att den grundläggande </w:t>
      </w:r>
      <w:proofErr w:type="spellStart"/>
      <w:r w:rsidRPr="00E50958">
        <w:rPr>
          <w:sz w:val="24"/>
          <w:szCs w:val="24"/>
        </w:rPr>
        <w:t>geodata</w:t>
      </w:r>
      <w:proofErr w:type="spellEnd"/>
      <w:r w:rsidRPr="00E50958">
        <w:rPr>
          <w:sz w:val="24"/>
          <w:szCs w:val="24"/>
        </w:rPr>
        <w:t xml:space="preserve"> som öppnas upp även innehåller fastighetskartan, d.v.s. fastighetsgränser och sökbara fastighetsbeteckningar. </w:t>
      </w:r>
    </w:p>
    <w:p w:rsidR="005E73BF" w:rsidRPr="00E50958" w:rsidRDefault="005E73BF" w:rsidP="005E73BF">
      <w:pPr>
        <w:pStyle w:val="Liststycke"/>
        <w:numPr>
          <w:ilvl w:val="0"/>
          <w:numId w:val="9"/>
        </w:numPr>
        <w:tabs>
          <w:tab w:val="clear" w:pos="1134"/>
          <w:tab w:val="clear" w:pos="2268"/>
          <w:tab w:val="clear" w:pos="3402"/>
          <w:tab w:val="clear" w:pos="4536"/>
          <w:tab w:val="clear" w:pos="5670"/>
        </w:tabs>
        <w:spacing w:before="120" w:after="0" w:line="259" w:lineRule="auto"/>
        <w:ind w:left="714" w:hanging="357"/>
        <w:contextualSpacing w:val="0"/>
        <w:rPr>
          <w:sz w:val="24"/>
          <w:szCs w:val="24"/>
        </w:rPr>
      </w:pPr>
      <w:r w:rsidRPr="00E50958">
        <w:rPr>
          <w:sz w:val="24"/>
          <w:szCs w:val="24"/>
        </w:rPr>
        <w:t>Även de maskingränssnittstjänster (</w:t>
      </w:r>
      <w:proofErr w:type="spellStart"/>
      <w:proofErr w:type="gramStart"/>
      <w:r w:rsidRPr="00E50958">
        <w:rPr>
          <w:sz w:val="24"/>
          <w:szCs w:val="24"/>
        </w:rPr>
        <w:t>API:er</w:t>
      </w:r>
      <w:proofErr w:type="spellEnd"/>
      <w:proofErr w:type="gramEnd"/>
      <w:r w:rsidRPr="00E50958">
        <w:rPr>
          <w:sz w:val="24"/>
          <w:szCs w:val="24"/>
        </w:rPr>
        <w:t xml:space="preserve">) som tillhandahåller öppnade </w:t>
      </w:r>
      <w:proofErr w:type="spellStart"/>
      <w:r w:rsidRPr="00E50958">
        <w:rPr>
          <w:sz w:val="24"/>
          <w:szCs w:val="24"/>
        </w:rPr>
        <w:t>geodata</w:t>
      </w:r>
      <w:proofErr w:type="spellEnd"/>
      <w:r w:rsidRPr="00E50958">
        <w:rPr>
          <w:sz w:val="24"/>
          <w:szCs w:val="24"/>
        </w:rPr>
        <w:t xml:space="preserve"> bör vara avgiftsfria. Lantmäteriet ser att detta blir allt viktigare för digitaliseringen av de olika processerna i samhället.</w:t>
      </w:r>
    </w:p>
    <w:p w:rsidR="005E73BF" w:rsidRPr="00E50958" w:rsidRDefault="005E73BF" w:rsidP="005E73BF">
      <w:pPr>
        <w:spacing w:before="120" w:after="0"/>
        <w:rPr>
          <w:sz w:val="24"/>
          <w:szCs w:val="24"/>
        </w:rPr>
      </w:pPr>
      <w:r w:rsidRPr="00E50958">
        <w:rPr>
          <w:sz w:val="24"/>
          <w:szCs w:val="24"/>
        </w:rPr>
        <w:lastRenderedPageBreak/>
        <w:t>I budgetpropositionen för 2017 föreslår regeringen riksdagen att stora delar av de ekonomiska transaktionerna mellan statliga myndigheter för deras åtkomst av registerdata ersätts av en anslagsomföring</w:t>
      </w:r>
      <w:r w:rsidR="001329C7">
        <w:rPr>
          <w:sz w:val="24"/>
          <w:szCs w:val="24"/>
        </w:rPr>
        <w:t>. Omföringen ska s</w:t>
      </w:r>
      <w:r w:rsidR="0071625F">
        <w:rPr>
          <w:sz w:val="24"/>
          <w:szCs w:val="24"/>
        </w:rPr>
        <w:t>k</w:t>
      </w:r>
      <w:r w:rsidR="001329C7">
        <w:rPr>
          <w:sz w:val="24"/>
          <w:szCs w:val="24"/>
        </w:rPr>
        <w:t>e</w:t>
      </w:r>
      <w:r w:rsidRPr="00E50958">
        <w:rPr>
          <w:sz w:val="24"/>
          <w:szCs w:val="24"/>
        </w:rPr>
        <w:t xml:space="preserve"> från statliga myndigheter som nyttjar data till de myndigheter som levererar data. Bland de statliga geodatamyndigheterna omfattar den aktuella delåtgärden endast </w:t>
      </w:r>
      <w:proofErr w:type="spellStart"/>
      <w:r w:rsidRPr="00E50958">
        <w:rPr>
          <w:sz w:val="24"/>
          <w:szCs w:val="24"/>
        </w:rPr>
        <w:t>geodata</w:t>
      </w:r>
      <w:proofErr w:type="spellEnd"/>
      <w:r w:rsidRPr="00E50958">
        <w:rPr>
          <w:sz w:val="24"/>
          <w:szCs w:val="24"/>
        </w:rPr>
        <w:t xml:space="preserve"> från Lantmäteriet</w:t>
      </w:r>
      <w:r w:rsidR="001329C7">
        <w:rPr>
          <w:sz w:val="24"/>
          <w:szCs w:val="24"/>
        </w:rPr>
        <w:t>. I detta fall innebär</w:t>
      </w:r>
      <w:r w:rsidR="0071625F">
        <w:rPr>
          <w:sz w:val="24"/>
          <w:szCs w:val="24"/>
        </w:rPr>
        <w:t xml:space="preserve"> </w:t>
      </w:r>
      <w:r w:rsidRPr="00E50958">
        <w:rPr>
          <w:sz w:val="24"/>
          <w:szCs w:val="24"/>
        </w:rPr>
        <w:t xml:space="preserve">förändringen att informationen ur fastighetsregistret och viss geografisk information (fastighetskartan) blir avgiftsfri för statliga myndigheter och att Lantmäteriets anslag därför varaktigt </w:t>
      </w:r>
      <w:r w:rsidR="0071625F">
        <w:rPr>
          <w:sz w:val="24"/>
          <w:szCs w:val="24"/>
        </w:rPr>
        <w:t xml:space="preserve">föreslås </w:t>
      </w:r>
      <w:r w:rsidRPr="00E50958">
        <w:rPr>
          <w:sz w:val="24"/>
          <w:szCs w:val="24"/>
        </w:rPr>
        <w:t>utökas med c</w:t>
      </w:r>
      <w:r>
        <w:rPr>
          <w:sz w:val="24"/>
          <w:szCs w:val="24"/>
        </w:rPr>
        <w:t>irk</w:t>
      </w:r>
      <w:r w:rsidRPr="00E50958">
        <w:rPr>
          <w:sz w:val="24"/>
          <w:szCs w:val="24"/>
        </w:rPr>
        <w:t>a 35 mkr/år fr</w:t>
      </w:r>
      <w:r>
        <w:rPr>
          <w:sz w:val="24"/>
          <w:szCs w:val="24"/>
        </w:rPr>
        <w:t>ån och med</w:t>
      </w:r>
      <w:r w:rsidRPr="00E50958">
        <w:rPr>
          <w:sz w:val="24"/>
          <w:szCs w:val="24"/>
        </w:rPr>
        <w:t xml:space="preserve"> 2017. </w:t>
      </w:r>
    </w:p>
    <w:p w:rsidR="005E73BF" w:rsidRPr="00E50958" w:rsidRDefault="005E73BF" w:rsidP="005E73BF">
      <w:pPr>
        <w:spacing w:before="120" w:after="0"/>
        <w:rPr>
          <w:sz w:val="24"/>
          <w:szCs w:val="24"/>
        </w:rPr>
      </w:pPr>
      <w:r w:rsidRPr="00E50958">
        <w:rPr>
          <w:sz w:val="24"/>
          <w:szCs w:val="24"/>
        </w:rPr>
        <w:t xml:space="preserve">Åtgärden är ett mycket positivt steg i rätt riktning, men innebär </w:t>
      </w:r>
      <w:r w:rsidRPr="00E50958">
        <w:rPr>
          <w:sz w:val="24"/>
          <w:szCs w:val="24"/>
          <w:u w:val="single"/>
        </w:rPr>
        <w:t>inte</w:t>
      </w:r>
      <w:r w:rsidRPr="00E50958">
        <w:rPr>
          <w:sz w:val="24"/>
          <w:szCs w:val="24"/>
        </w:rPr>
        <w:t xml:space="preserve"> att något </w:t>
      </w:r>
      <w:proofErr w:type="spellStart"/>
      <w:r w:rsidRPr="00E50958">
        <w:rPr>
          <w:sz w:val="24"/>
          <w:szCs w:val="24"/>
        </w:rPr>
        <w:t>geodata</w:t>
      </w:r>
      <w:proofErr w:type="spellEnd"/>
      <w:r w:rsidRPr="00E50958">
        <w:rPr>
          <w:sz w:val="24"/>
          <w:szCs w:val="24"/>
        </w:rPr>
        <w:t xml:space="preserve"> blir öppet i bemärkelsen avgiftsfria för andra och fritt spridningsbara i samhället. För detta krävs att även avgiftsfinansieringen från andra användarkategorier ersätts med anslagsfinansiering. </w:t>
      </w:r>
    </w:p>
    <w:p w:rsidR="005E73BF" w:rsidRPr="00E50958" w:rsidRDefault="005E73BF" w:rsidP="005E73BF">
      <w:pPr>
        <w:spacing w:before="120" w:after="0"/>
        <w:rPr>
          <w:sz w:val="24"/>
          <w:szCs w:val="24"/>
        </w:rPr>
      </w:pPr>
    </w:p>
    <w:p w:rsidR="005E73BF" w:rsidRPr="00E50958" w:rsidRDefault="005E73BF" w:rsidP="005E73BF">
      <w:pPr>
        <w:pStyle w:val="Rubrik3"/>
      </w:pPr>
      <w:r w:rsidRPr="00E50958">
        <w:lastRenderedPageBreak/>
        <w:t>Förslag till åtgärder</w:t>
      </w:r>
    </w:p>
    <w:p w:rsidR="005E73BF" w:rsidRPr="00E50958" w:rsidRDefault="005E73BF" w:rsidP="005E73BF">
      <w:pPr>
        <w:spacing w:before="120" w:after="0"/>
        <w:rPr>
          <w:sz w:val="24"/>
          <w:szCs w:val="24"/>
        </w:rPr>
      </w:pPr>
      <w:r w:rsidRPr="00E50958">
        <w:rPr>
          <w:sz w:val="24"/>
          <w:szCs w:val="24"/>
          <w:u w:val="single"/>
        </w:rPr>
        <w:t>Lantmäteriet föreslår</w:t>
      </w:r>
      <w:r w:rsidRPr="00E50958">
        <w:rPr>
          <w:sz w:val="24"/>
          <w:szCs w:val="24"/>
        </w:rPr>
        <w:t xml:space="preserve"> att de </w:t>
      </w:r>
      <w:proofErr w:type="spellStart"/>
      <w:r w:rsidRPr="00E50958">
        <w:rPr>
          <w:sz w:val="24"/>
          <w:szCs w:val="24"/>
        </w:rPr>
        <w:t>geodata</w:t>
      </w:r>
      <w:proofErr w:type="spellEnd"/>
      <w:r w:rsidRPr="00E50958">
        <w:rPr>
          <w:sz w:val="24"/>
          <w:szCs w:val="24"/>
        </w:rPr>
        <w:t xml:space="preserve"> som ingått i Lantmäteriets tidigare framställan om öppna </w:t>
      </w:r>
      <w:proofErr w:type="spellStart"/>
      <w:r w:rsidRPr="00E50958">
        <w:rPr>
          <w:sz w:val="24"/>
          <w:szCs w:val="24"/>
        </w:rPr>
        <w:t>geodata</w:t>
      </w:r>
      <w:proofErr w:type="spellEnd"/>
      <w:r w:rsidRPr="00E50958">
        <w:rPr>
          <w:rStyle w:val="Fotnotsreferens"/>
          <w:sz w:val="24"/>
          <w:szCs w:val="24"/>
        </w:rPr>
        <w:footnoteReference w:id="1"/>
      </w:r>
      <w:r w:rsidRPr="00E50958">
        <w:rPr>
          <w:sz w:val="24"/>
          <w:szCs w:val="24"/>
        </w:rPr>
        <w:t>, kompletterade med information ur fastighetskartan samt avgiftsfria maskingränssnitt, anslagsfinansieras. Sammantaget avser förslaget följande information/tjänster:</w:t>
      </w:r>
    </w:p>
    <w:p w:rsidR="005E73BF" w:rsidRPr="00E50958" w:rsidRDefault="005E73BF" w:rsidP="005E73BF">
      <w:pPr>
        <w:pStyle w:val="Liststycke"/>
        <w:numPr>
          <w:ilvl w:val="0"/>
          <w:numId w:val="10"/>
        </w:numPr>
        <w:tabs>
          <w:tab w:val="clear" w:pos="1134"/>
          <w:tab w:val="clear" w:pos="2268"/>
          <w:tab w:val="clear" w:pos="3402"/>
          <w:tab w:val="clear" w:pos="4536"/>
          <w:tab w:val="clear" w:pos="5670"/>
        </w:tabs>
        <w:spacing w:before="120" w:after="0" w:line="259" w:lineRule="auto"/>
        <w:rPr>
          <w:sz w:val="24"/>
          <w:szCs w:val="24"/>
        </w:rPr>
      </w:pPr>
      <w:r w:rsidRPr="00E50958">
        <w:rPr>
          <w:sz w:val="24"/>
          <w:szCs w:val="24"/>
        </w:rPr>
        <w:t>Höjd- och bildinformation</w:t>
      </w:r>
    </w:p>
    <w:p w:rsidR="005E73BF" w:rsidRPr="00E50958" w:rsidRDefault="005E73BF" w:rsidP="005E73BF">
      <w:pPr>
        <w:pStyle w:val="Liststycke"/>
        <w:numPr>
          <w:ilvl w:val="0"/>
          <w:numId w:val="10"/>
        </w:numPr>
        <w:tabs>
          <w:tab w:val="clear" w:pos="1134"/>
          <w:tab w:val="clear" w:pos="2268"/>
          <w:tab w:val="clear" w:pos="3402"/>
          <w:tab w:val="clear" w:pos="4536"/>
          <w:tab w:val="clear" w:pos="5670"/>
        </w:tabs>
        <w:spacing w:before="120" w:after="0" w:line="259" w:lineRule="auto"/>
        <w:rPr>
          <w:sz w:val="24"/>
          <w:szCs w:val="24"/>
        </w:rPr>
      </w:pPr>
      <w:r w:rsidRPr="00E50958">
        <w:rPr>
          <w:sz w:val="24"/>
          <w:szCs w:val="24"/>
        </w:rPr>
        <w:t>Topografiska kartor</w:t>
      </w:r>
    </w:p>
    <w:p w:rsidR="005E73BF" w:rsidRPr="00E50958" w:rsidRDefault="005E73BF" w:rsidP="005E73BF">
      <w:pPr>
        <w:pStyle w:val="Liststycke"/>
        <w:numPr>
          <w:ilvl w:val="0"/>
          <w:numId w:val="10"/>
        </w:numPr>
        <w:tabs>
          <w:tab w:val="clear" w:pos="1134"/>
          <w:tab w:val="clear" w:pos="2268"/>
          <w:tab w:val="clear" w:pos="3402"/>
          <w:tab w:val="clear" w:pos="4536"/>
          <w:tab w:val="clear" w:pos="5670"/>
        </w:tabs>
        <w:spacing w:before="120" w:after="0" w:line="259" w:lineRule="auto"/>
        <w:rPr>
          <w:sz w:val="24"/>
          <w:szCs w:val="24"/>
        </w:rPr>
      </w:pPr>
      <w:r w:rsidRPr="00E50958">
        <w:rPr>
          <w:sz w:val="24"/>
          <w:szCs w:val="24"/>
        </w:rPr>
        <w:t>Fastighetskartan (inkl. fastighetsgränser och beteckningar)</w:t>
      </w:r>
    </w:p>
    <w:p w:rsidR="005E73BF" w:rsidRPr="00E50958" w:rsidRDefault="005E73BF" w:rsidP="005E73BF">
      <w:pPr>
        <w:pStyle w:val="Liststycke"/>
        <w:numPr>
          <w:ilvl w:val="0"/>
          <w:numId w:val="10"/>
        </w:numPr>
        <w:tabs>
          <w:tab w:val="clear" w:pos="1134"/>
          <w:tab w:val="clear" w:pos="2268"/>
          <w:tab w:val="clear" w:pos="3402"/>
          <w:tab w:val="clear" w:pos="4536"/>
          <w:tab w:val="clear" w:pos="5670"/>
        </w:tabs>
        <w:spacing w:before="120" w:after="0" w:line="259" w:lineRule="auto"/>
        <w:rPr>
          <w:sz w:val="24"/>
          <w:szCs w:val="24"/>
        </w:rPr>
      </w:pPr>
      <w:r w:rsidRPr="00E50958">
        <w:rPr>
          <w:sz w:val="24"/>
          <w:szCs w:val="24"/>
        </w:rPr>
        <w:t>Adresser</w:t>
      </w:r>
    </w:p>
    <w:p w:rsidR="005E73BF" w:rsidRPr="00E50958" w:rsidRDefault="005E73BF" w:rsidP="005E73BF">
      <w:pPr>
        <w:pStyle w:val="Liststycke"/>
        <w:numPr>
          <w:ilvl w:val="0"/>
          <w:numId w:val="10"/>
        </w:numPr>
        <w:tabs>
          <w:tab w:val="clear" w:pos="1134"/>
          <w:tab w:val="clear" w:pos="2268"/>
          <w:tab w:val="clear" w:pos="3402"/>
          <w:tab w:val="clear" w:pos="4536"/>
          <w:tab w:val="clear" w:pos="5670"/>
        </w:tabs>
        <w:spacing w:before="120" w:after="0" w:line="259" w:lineRule="auto"/>
        <w:rPr>
          <w:sz w:val="24"/>
          <w:szCs w:val="24"/>
        </w:rPr>
      </w:pPr>
      <w:r w:rsidRPr="00E50958">
        <w:rPr>
          <w:sz w:val="24"/>
          <w:szCs w:val="24"/>
        </w:rPr>
        <w:t>Maskingränssnitt (</w:t>
      </w:r>
      <w:proofErr w:type="spellStart"/>
      <w:proofErr w:type="gramStart"/>
      <w:r w:rsidRPr="00E50958">
        <w:rPr>
          <w:sz w:val="24"/>
          <w:szCs w:val="24"/>
        </w:rPr>
        <w:t>API:er</w:t>
      </w:r>
      <w:proofErr w:type="spellEnd"/>
      <w:proofErr w:type="gramEnd"/>
      <w:r w:rsidRPr="00E50958">
        <w:rPr>
          <w:sz w:val="24"/>
          <w:szCs w:val="24"/>
        </w:rPr>
        <w:t>) för berörd information</w:t>
      </w:r>
    </w:p>
    <w:p w:rsidR="005E73BF" w:rsidRPr="00E50958" w:rsidRDefault="005E73BF" w:rsidP="005E73BF">
      <w:pPr>
        <w:spacing w:before="120" w:after="0"/>
        <w:rPr>
          <w:sz w:val="24"/>
          <w:szCs w:val="24"/>
        </w:rPr>
      </w:pPr>
      <w:r w:rsidRPr="00E50958">
        <w:rPr>
          <w:sz w:val="24"/>
          <w:szCs w:val="24"/>
          <w:u w:val="single"/>
        </w:rPr>
        <w:t>Lantmäteriet föreslår</w:t>
      </w:r>
      <w:r w:rsidRPr="00E50958">
        <w:rPr>
          <w:sz w:val="24"/>
          <w:szCs w:val="24"/>
        </w:rPr>
        <w:t xml:space="preserve"> vidare att den fortsatta dialogen mellan Lantmäteriet och Regeringskansliet kring finansieringsbehovet för berörda </w:t>
      </w:r>
      <w:proofErr w:type="spellStart"/>
      <w:r w:rsidRPr="00E50958">
        <w:rPr>
          <w:sz w:val="24"/>
          <w:szCs w:val="24"/>
        </w:rPr>
        <w:t>geodata</w:t>
      </w:r>
      <w:proofErr w:type="spellEnd"/>
      <w:r w:rsidRPr="00E50958">
        <w:rPr>
          <w:sz w:val="24"/>
          <w:szCs w:val="24"/>
        </w:rPr>
        <w:t xml:space="preserve"> baseras på kostnaderna för att ta fram, utveckla, förvalta och tillhandahålla dessa </w:t>
      </w:r>
      <w:proofErr w:type="spellStart"/>
      <w:r w:rsidRPr="00E50958">
        <w:rPr>
          <w:sz w:val="24"/>
          <w:szCs w:val="24"/>
        </w:rPr>
        <w:t>geodata</w:t>
      </w:r>
      <w:proofErr w:type="spellEnd"/>
      <w:r w:rsidRPr="00E50958">
        <w:rPr>
          <w:sz w:val="24"/>
          <w:szCs w:val="24"/>
        </w:rPr>
        <w:t xml:space="preserve">, inte på storleken av de avgiftsintäkter som Lantmäteriet över tiden förlorar. Intäkter och kostnader förändras över tiden och då är det viktigt att fokus ligger på </w:t>
      </w:r>
      <w:r w:rsidRPr="00E50958">
        <w:rPr>
          <w:sz w:val="24"/>
          <w:szCs w:val="24"/>
        </w:rPr>
        <w:lastRenderedPageBreak/>
        <w:t>finansieringen av kostnaderna, som över tiden dessutom påverkas av särskilda satsningar etc.</w:t>
      </w:r>
    </w:p>
    <w:p w:rsidR="005E73BF" w:rsidRPr="00E50958" w:rsidRDefault="005E73BF" w:rsidP="005E73BF">
      <w:pPr>
        <w:spacing w:before="120" w:after="0"/>
        <w:rPr>
          <w:sz w:val="24"/>
          <w:szCs w:val="24"/>
        </w:rPr>
      </w:pPr>
    </w:p>
    <w:p w:rsidR="005E73BF" w:rsidRPr="00E50958" w:rsidRDefault="005E73BF" w:rsidP="005E73BF">
      <w:pPr>
        <w:pStyle w:val="Rubrik3"/>
      </w:pPr>
      <w:r w:rsidRPr="00E50958">
        <w:t>Reviderat finansieringsbehov</w:t>
      </w:r>
    </w:p>
    <w:p w:rsidR="005E73BF" w:rsidRPr="00E50958" w:rsidRDefault="005E73BF" w:rsidP="005E73BF">
      <w:pPr>
        <w:spacing w:before="120" w:after="0"/>
        <w:rPr>
          <w:sz w:val="24"/>
          <w:szCs w:val="24"/>
        </w:rPr>
      </w:pPr>
      <w:r w:rsidRPr="00E50958">
        <w:rPr>
          <w:sz w:val="24"/>
          <w:szCs w:val="24"/>
        </w:rPr>
        <w:t>Lantmäteriet har i delredovisningen Effekter och konsekvenser av öppna data (s</w:t>
      </w:r>
      <w:r w:rsidR="0071625F">
        <w:rPr>
          <w:sz w:val="24"/>
          <w:szCs w:val="24"/>
        </w:rPr>
        <w:t>id.</w:t>
      </w:r>
      <w:r w:rsidRPr="00E50958">
        <w:rPr>
          <w:sz w:val="24"/>
          <w:szCs w:val="24"/>
        </w:rPr>
        <w:t xml:space="preserve"> 10) uppgett att det justerade anslagsbehovet för att kunna öppna </w:t>
      </w:r>
      <w:proofErr w:type="spellStart"/>
      <w:r w:rsidRPr="00E50958">
        <w:rPr>
          <w:sz w:val="24"/>
          <w:szCs w:val="24"/>
        </w:rPr>
        <w:t>geodata</w:t>
      </w:r>
      <w:proofErr w:type="spellEnd"/>
      <w:r w:rsidRPr="00E50958">
        <w:rPr>
          <w:sz w:val="24"/>
          <w:szCs w:val="24"/>
        </w:rPr>
        <w:t xml:space="preserve"> uppgår till c</w:t>
      </w:r>
      <w:r w:rsidR="006C5CB9">
        <w:rPr>
          <w:sz w:val="24"/>
          <w:szCs w:val="24"/>
        </w:rPr>
        <w:t>irka</w:t>
      </w:r>
      <w:r w:rsidRPr="00E50958">
        <w:rPr>
          <w:sz w:val="24"/>
          <w:szCs w:val="24"/>
        </w:rPr>
        <w:t xml:space="preserve"> 150 mkr. Efter en analys av innebörden i regeringens förslag i budgetpropositionen för 2017 om varaktig anslagsomföring har beloppet om 150 mkr dock behövts justeras ytterligare. Detta då Lantmäteriet ser att det totala finansieringsbehovet minskar med nästan 20 mkr genom regeringens förslag.</w:t>
      </w:r>
    </w:p>
    <w:p w:rsidR="005E73BF" w:rsidRPr="00E50958" w:rsidRDefault="005E73BF" w:rsidP="005E73BF">
      <w:pPr>
        <w:spacing w:before="120" w:after="0"/>
        <w:rPr>
          <w:sz w:val="24"/>
          <w:szCs w:val="24"/>
        </w:rPr>
      </w:pPr>
      <w:r w:rsidRPr="00E50958">
        <w:rPr>
          <w:sz w:val="24"/>
          <w:szCs w:val="24"/>
        </w:rPr>
        <w:t xml:space="preserve">Med grund i ovan redovisade förutsättningar att öppna upp viktiga delar av Lantmäteriets </w:t>
      </w:r>
      <w:proofErr w:type="spellStart"/>
      <w:r w:rsidRPr="00E50958">
        <w:rPr>
          <w:sz w:val="24"/>
          <w:szCs w:val="24"/>
        </w:rPr>
        <w:t>geodata</w:t>
      </w:r>
      <w:proofErr w:type="spellEnd"/>
      <w:r w:rsidRPr="00E50958">
        <w:rPr>
          <w:sz w:val="24"/>
          <w:szCs w:val="24"/>
        </w:rPr>
        <w:t xml:space="preserve"> krävs sammanfattningsvis att Lantmäteriets anslagsfinansiering på området utökas med c</w:t>
      </w:r>
      <w:r w:rsidR="006C5CB9">
        <w:rPr>
          <w:sz w:val="24"/>
          <w:szCs w:val="24"/>
        </w:rPr>
        <w:t>irka</w:t>
      </w:r>
      <w:r w:rsidRPr="00E50958">
        <w:rPr>
          <w:sz w:val="24"/>
          <w:szCs w:val="24"/>
        </w:rPr>
        <w:t xml:space="preserve"> 130 </w:t>
      </w:r>
      <w:r w:rsidRPr="000F699D">
        <w:rPr>
          <w:sz w:val="24"/>
          <w:szCs w:val="24"/>
        </w:rPr>
        <w:t>mnkr</w:t>
      </w:r>
      <w:r w:rsidRPr="00E50958">
        <w:rPr>
          <w:sz w:val="24"/>
          <w:szCs w:val="24"/>
        </w:rPr>
        <w:t>/år under perioden 2017-2019, enligt följande.</w:t>
      </w:r>
    </w:p>
    <w:p w:rsidR="005E73BF" w:rsidRDefault="005E73BF" w:rsidP="005E73BF">
      <w:pPr>
        <w:spacing w:before="120" w:after="0"/>
        <w:rPr>
          <w:u w:val="single"/>
        </w:rPr>
      </w:pPr>
    </w:p>
    <w:tbl>
      <w:tblPr>
        <w:tblW w:w="7209" w:type="dxa"/>
        <w:tblInd w:w="70" w:type="dxa"/>
        <w:tblCellMar>
          <w:left w:w="0" w:type="dxa"/>
          <w:right w:w="0" w:type="dxa"/>
        </w:tblCellMar>
        <w:tblLook w:val="04A0" w:firstRow="1" w:lastRow="0" w:firstColumn="1" w:lastColumn="0" w:noHBand="0" w:noVBand="1"/>
      </w:tblPr>
      <w:tblGrid>
        <w:gridCol w:w="3548"/>
        <w:gridCol w:w="810"/>
        <w:gridCol w:w="930"/>
        <w:gridCol w:w="930"/>
        <w:gridCol w:w="991"/>
      </w:tblGrid>
      <w:tr w:rsidR="005E73BF" w:rsidRPr="00F54AC4" w:rsidTr="0084033D">
        <w:trPr>
          <w:trHeight w:val="290"/>
        </w:trPr>
        <w:tc>
          <w:tcPr>
            <w:tcW w:w="3548" w:type="dxa"/>
            <w:tcBorders>
              <w:right w:val="single" w:sz="4" w:space="0" w:color="auto"/>
            </w:tcBorders>
            <w:noWrap/>
            <w:tcMar>
              <w:top w:w="0" w:type="dxa"/>
              <w:left w:w="70" w:type="dxa"/>
              <w:bottom w:w="0" w:type="dxa"/>
              <w:right w:w="70" w:type="dxa"/>
            </w:tcMar>
            <w:vAlign w:val="bottom"/>
            <w:hideMark/>
          </w:tcPr>
          <w:p w:rsidR="005E73BF" w:rsidRPr="00F54AC4" w:rsidRDefault="005E73BF" w:rsidP="0014204B">
            <w:pPr>
              <w:spacing w:after="0"/>
              <w:rPr>
                <w:rFonts w:ascii="Calibri" w:eastAsia="Calibri" w:hAnsi="Calibri"/>
              </w:rPr>
            </w:pPr>
          </w:p>
        </w:tc>
        <w:tc>
          <w:tcPr>
            <w:tcW w:w="3661"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E73BF" w:rsidRPr="00F54AC4" w:rsidRDefault="005E73BF" w:rsidP="0014204B">
            <w:pPr>
              <w:spacing w:after="0"/>
              <w:jc w:val="center"/>
              <w:rPr>
                <w:rFonts w:ascii="Calibri" w:eastAsia="Calibri" w:hAnsi="Calibri"/>
                <w:color w:val="000000"/>
              </w:rPr>
            </w:pPr>
            <w:r w:rsidRPr="00F54AC4">
              <w:rPr>
                <w:rFonts w:ascii="Calibri" w:eastAsia="Calibri" w:hAnsi="Calibri"/>
                <w:color w:val="000000"/>
              </w:rPr>
              <w:t>Årlig</w:t>
            </w:r>
            <w:r>
              <w:rPr>
                <w:rFonts w:ascii="Calibri" w:eastAsia="Calibri" w:hAnsi="Calibri"/>
                <w:color w:val="000000"/>
              </w:rPr>
              <w:t>a</w:t>
            </w:r>
            <w:r w:rsidRPr="00F54AC4">
              <w:rPr>
                <w:rFonts w:ascii="Calibri" w:eastAsia="Calibri" w:hAnsi="Calibri"/>
                <w:color w:val="000000"/>
              </w:rPr>
              <w:t xml:space="preserve"> kostnad</w:t>
            </w:r>
            <w:r>
              <w:rPr>
                <w:rFonts w:ascii="Calibri" w:eastAsia="Calibri" w:hAnsi="Calibri"/>
                <w:color w:val="000000"/>
              </w:rPr>
              <w:t>er</w:t>
            </w:r>
          </w:p>
        </w:tc>
      </w:tr>
      <w:tr w:rsidR="005E73BF" w:rsidRPr="00F54AC4" w:rsidTr="001329C7">
        <w:trPr>
          <w:trHeight w:val="290"/>
        </w:trPr>
        <w:tc>
          <w:tcPr>
            <w:tcW w:w="3548" w:type="dxa"/>
            <w:tcBorders>
              <w:right w:val="single" w:sz="4" w:space="0" w:color="auto"/>
            </w:tcBorders>
            <w:noWrap/>
            <w:tcMar>
              <w:top w:w="0" w:type="dxa"/>
              <w:left w:w="70" w:type="dxa"/>
              <w:bottom w:w="0" w:type="dxa"/>
              <w:right w:w="70" w:type="dxa"/>
            </w:tcMar>
            <w:vAlign w:val="bottom"/>
            <w:hideMark/>
          </w:tcPr>
          <w:p w:rsidR="005E73BF" w:rsidRPr="00F54AC4" w:rsidRDefault="005E73BF" w:rsidP="0014204B">
            <w:pPr>
              <w:spacing w:after="0"/>
              <w:rPr>
                <w:rFonts w:ascii="Calibri" w:eastAsia="Calibri" w:hAnsi="Calibri"/>
                <w:b/>
                <w:bCs/>
                <w:color w:val="000000"/>
              </w:rPr>
            </w:pPr>
            <w:r w:rsidRPr="00F54AC4">
              <w:rPr>
                <w:rFonts w:ascii="Calibri" w:eastAsia="Calibri" w:hAnsi="Calibri"/>
                <w:b/>
                <w:bCs/>
                <w:color w:val="000000"/>
              </w:rPr>
              <w:lastRenderedPageBreak/>
              <w:t>Omfattning</w:t>
            </w:r>
          </w:p>
        </w:tc>
        <w:tc>
          <w:tcPr>
            <w:tcW w:w="81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b/>
                <w:bCs/>
                <w:color w:val="000000"/>
              </w:rPr>
            </w:pPr>
            <w:r w:rsidRPr="00F54AC4">
              <w:rPr>
                <w:rFonts w:ascii="Calibri" w:eastAsia="Calibri" w:hAnsi="Calibri"/>
                <w:b/>
                <w:bCs/>
                <w:color w:val="000000"/>
              </w:rPr>
              <w:t>2016</w:t>
            </w:r>
          </w:p>
        </w:tc>
        <w:tc>
          <w:tcPr>
            <w:tcW w:w="93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b/>
                <w:bCs/>
                <w:color w:val="000000"/>
              </w:rPr>
            </w:pPr>
            <w:r w:rsidRPr="00F54AC4">
              <w:rPr>
                <w:rFonts w:ascii="Calibri" w:eastAsia="Calibri" w:hAnsi="Calibri"/>
                <w:b/>
                <w:bCs/>
                <w:color w:val="000000"/>
              </w:rPr>
              <w:t>2017-2019</w:t>
            </w:r>
          </w:p>
        </w:tc>
        <w:tc>
          <w:tcPr>
            <w:tcW w:w="93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b/>
                <w:bCs/>
                <w:color w:val="000000"/>
              </w:rPr>
            </w:pPr>
            <w:r w:rsidRPr="00F54AC4">
              <w:rPr>
                <w:rFonts w:ascii="Calibri" w:eastAsia="Calibri" w:hAnsi="Calibri"/>
                <w:b/>
                <w:bCs/>
                <w:color w:val="000000"/>
              </w:rPr>
              <w:t>2020-2022</w:t>
            </w:r>
          </w:p>
        </w:tc>
        <w:tc>
          <w:tcPr>
            <w:tcW w:w="99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b/>
                <w:bCs/>
                <w:color w:val="000000"/>
              </w:rPr>
            </w:pPr>
            <w:r w:rsidRPr="00F54AC4">
              <w:rPr>
                <w:rFonts w:ascii="Calibri" w:eastAsia="Calibri" w:hAnsi="Calibri"/>
                <w:b/>
                <w:bCs/>
                <w:color w:val="000000"/>
              </w:rPr>
              <w:t>2023-2026</w:t>
            </w:r>
          </w:p>
        </w:tc>
      </w:tr>
      <w:tr w:rsidR="005E73BF" w:rsidRPr="00F54AC4" w:rsidTr="001329C7">
        <w:trPr>
          <w:trHeight w:val="290"/>
        </w:trPr>
        <w:tc>
          <w:tcPr>
            <w:tcW w:w="35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rPr>
                <w:rFonts w:ascii="Calibri" w:eastAsia="Calibri" w:hAnsi="Calibri"/>
                <w:bCs/>
                <w:color w:val="000000"/>
              </w:rPr>
            </w:pPr>
            <w:r w:rsidRPr="00F54AC4">
              <w:rPr>
                <w:rFonts w:ascii="Calibri" w:eastAsia="Calibri" w:hAnsi="Calibri"/>
                <w:bCs/>
                <w:color w:val="000000"/>
              </w:rPr>
              <w:t>Kartor, höjd, bild, byggna</w:t>
            </w:r>
            <w:r>
              <w:rPr>
                <w:rFonts w:ascii="Calibri" w:eastAsia="Calibri" w:hAnsi="Calibri"/>
                <w:bCs/>
                <w:color w:val="000000"/>
              </w:rPr>
              <w:t>d &amp; adress</w:t>
            </w:r>
          </w:p>
        </w:tc>
        <w:tc>
          <w:tcPr>
            <w:tcW w:w="81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color w:val="000000"/>
              </w:rPr>
            </w:pPr>
            <w:r w:rsidRPr="00F54AC4">
              <w:rPr>
                <w:rFonts w:ascii="Calibri" w:eastAsia="Calibri" w:hAnsi="Calibri"/>
                <w:color w:val="000000"/>
              </w:rPr>
              <w:t>297</w:t>
            </w:r>
          </w:p>
        </w:tc>
        <w:tc>
          <w:tcPr>
            <w:tcW w:w="93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color w:val="000000"/>
              </w:rPr>
            </w:pPr>
            <w:r w:rsidRPr="00F54AC4">
              <w:rPr>
                <w:rFonts w:ascii="Calibri" w:eastAsia="Calibri" w:hAnsi="Calibri"/>
                <w:color w:val="000000"/>
              </w:rPr>
              <w:t>299</w:t>
            </w:r>
          </w:p>
        </w:tc>
        <w:tc>
          <w:tcPr>
            <w:tcW w:w="930"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color w:val="000000"/>
              </w:rPr>
            </w:pPr>
            <w:r w:rsidRPr="00F54AC4">
              <w:rPr>
                <w:rFonts w:ascii="Calibri" w:eastAsia="Calibri" w:hAnsi="Calibri"/>
                <w:color w:val="000000"/>
              </w:rPr>
              <w:t>298</w:t>
            </w:r>
          </w:p>
        </w:tc>
        <w:tc>
          <w:tcPr>
            <w:tcW w:w="991" w:type="dxa"/>
            <w:tcBorders>
              <w:top w:val="single" w:sz="4" w:space="0" w:color="auto"/>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color w:val="000000"/>
              </w:rPr>
            </w:pPr>
            <w:r w:rsidRPr="00F54AC4">
              <w:rPr>
                <w:rFonts w:ascii="Calibri" w:eastAsia="Calibri" w:hAnsi="Calibri"/>
                <w:color w:val="000000"/>
              </w:rPr>
              <w:t>297</w:t>
            </w:r>
          </w:p>
        </w:tc>
      </w:tr>
      <w:tr w:rsidR="005E73BF" w:rsidRPr="00F54AC4" w:rsidTr="001329C7">
        <w:trPr>
          <w:trHeight w:val="290"/>
        </w:trPr>
        <w:tc>
          <w:tcPr>
            <w:tcW w:w="354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rPr>
                <w:rFonts w:ascii="Calibri" w:eastAsia="Calibri" w:hAnsi="Calibri"/>
                <w:bCs/>
                <w:color w:val="000000"/>
              </w:rPr>
            </w:pPr>
            <w:r w:rsidRPr="00F54AC4">
              <w:rPr>
                <w:rFonts w:ascii="Calibri" w:eastAsia="Calibri" w:hAnsi="Calibri"/>
                <w:bCs/>
                <w:color w:val="000000"/>
              </w:rPr>
              <w:t>Fastighetsgräns och beteckning</w:t>
            </w:r>
          </w:p>
        </w:tc>
        <w:tc>
          <w:tcPr>
            <w:tcW w:w="810" w:type="dxa"/>
            <w:tcBorders>
              <w:top w:val="nil"/>
              <w:left w:val="nil"/>
              <w:bottom w:val="nil"/>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color w:val="000000"/>
              </w:rPr>
            </w:pPr>
            <w:r w:rsidRPr="00F54AC4">
              <w:rPr>
                <w:rFonts w:ascii="Calibri" w:eastAsia="Calibri" w:hAnsi="Calibri"/>
                <w:color w:val="000000"/>
              </w:rPr>
              <w:t>19</w:t>
            </w:r>
          </w:p>
        </w:tc>
        <w:tc>
          <w:tcPr>
            <w:tcW w:w="930" w:type="dxa"/>
            <w:tcBorders>
              <w:top w:val="nil"/>
              <w:left w:val="nil"/>
              <w:bottom w:val="nil"/>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color w:val="000000"/>
              </w:rPr>
            </w:pPr>
            <w:r w:rsidRPr="00F54AC4">
              <w:rPr>
                <w:rFonts w:ascii="Calibri" w:eastAsia="Calibri" w:hAnsi="Calibri"/>
                <w:color w:val="000000"/>
              </w:rPr>
              <w:t>19</w:t>
            </w:r>
          </w:p>
        </w:tc>
        <w:tc>
          <w:tcPr>
            <w:tcW w:w="930" w:type="dxa"/>
            <w:tcBorders>
              <w:top w:val="nil"/>
              <w:left w:val="nil"/>
              <w:bottom w:val="nil"/>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color w:val="000000"/>
              </w:rPr>
            </w:pPr>
            <w:r w:rsidRPr="00F54AC4">
              <w:rPr>
                <w:rFonts w:ascii="Calibri" w:eastAsia="Calibri" w:hAnsi="Calibri"/>
                <w:color w:val="000000"/>
              </w:rPr>
              <w:t>20</w:t>
            </w:r>
          </w:p>
        </w:tc>
        <w:tc>
          <w:tcPr>
            <w:tcW w:w="991" w:type="dxa"/>
            <w:tcBorders>
              <w:top w:val="nil"/>
              <w:left w:val="nil"/>
              <w:bottom w:val="nil"/>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color w:val="000000"/>
              </w:rPr>
            </w:pPr>
            <w:r w:rsidRPr="00F54AC4">
              <w:rPr>
                <w:rFonts w:ascii="Calibri" w:eastAsia="Calibri" w:hAnsi="Calibri"/>
                <w:color w:val="000000"/>
              </w:rPr>
              <w:t>20</w:t>
            </w:r>
          </w:p>
        </w:tc>
      </w:tr>
      <w:tr w:rsidR="005E73BF" w:rsidRPr="00F54AC4" w:rsidTr="001329C7">
        <w:trPr>
          <w:trHeight w:val="290"/>
        </w:trPr>
        <w:tc>
          <w:tcPr>
            <w:tcW w:w="35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rPr>
                <w:rFonts w:ascii="Calibri" w:eastAsia="Calibri" w:hAnsi="Calibri"/>
                <w:b/>
                <w:bCs/>
                <w:color w:val="000000"/>
              </w:rPr>
            </w:pPr>
            <w:r w:rsidRPr="00F54AC4">
              <w:rPr>
                <w:rFonts w:ascii="Calibri" w:eastAsia="Calibri" w:hAnsi="Calibri"/>
                <w:b/>
                <w:bCs/>
                <w:color w:val="000000"/>
              </w:rPr>
              <w:t>Total kostnad</w:t>
            </w:r>
          </w:p>
        </w:tc>
        <w:tc>
          <w:tcPr>
            <w:tcW w:w="8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b/>
                <w:color w:val="000000"/>
              </w:rPr>
            </w:pPr>
            <w:r w:rsidRPr="00F54AC4">
              <w:rPr>
                <w:rFonts w:ascii="Calibri" w:eastAsia="Calibri" w:hAnsi="Calibri"/>
                <w:b/>
                <w:color w:val="000000"/>
              </w:rPr>
              <w:t>316</w:t>
            </w:r>
          </w:p>
        </w:tc>
        <w:tc>
          <w:tcPr>
            <w:tcW w:w="93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b/>
                <w:color w:val="000000"/>
              </w:rPr>
            </w:pPr>
            <w:r w:rsidRPr="00F54AC4">
              <w:rPr>
                <w:rFonts w:ascii="Calibri" w:eastAsia="Calibri" w:hAnsi="Calibri"/>
                <w:b/>
                <w:color w:val="000000"/>
              </w:rPr>
              <w:t>318</w:t>
            </w:r>
          </w:p>
        </w:tc>
        <w:tc>
          <w:tcPr>
            <w:tcW w:w="93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b/>
                <w:color w:val="000000"/>
              </w:rPr>
            </w:pPr>
            <w:r w:rsidRPr="00F54AC4">
              <w:rPr>
                <w:rFonts w:ascii="Calibri" w:eastAsia="Calibri" w:hAnsi="Calibri"/>
                <w:b/>
                <w:color w:val="000000"/>
              </w:rPr>
              <w:t>317</w:t>
            </w:r>
          </w:p>
        </w:tc>
        <w:tc>
          <w:tcPr>
            <w:tcW w:w="99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b/>
                <w:color w:val="000000"/>
              </w:rPr>
            </w:pPr>
            <w:r w:rsidRPr="00F54AC4">
              <w:rPr>
                <w:rFonts w:ascii="Calibri" w:eastAsia="Calibri" w:hAnsi="Calibri"/>
                <w:b/>
                <w:color w:val="000000"/>
              </w:rPr>
              <w:t>317</w:t>
            </w:r>
          </w:p>
        </w:tc>
      </w:tr>
      <w:tr w:rsidR="005E73BF" w:rsidRPr="00F54AC4" w:rsidTr="007C7742">
        <w:trPr>
          <w:trHeight w:val="116"/>
        </w:trPr>
        <w:tc>
          <w:tcPr>
            <w:tcW w:w="3548" w:type="dxa"/>
            <w:noWrap/>
            <w:tcMar>
              <w:top w:w="0" w:type="dxa"/>
              <w:left w:w="70" w:type="dxa"/>
              <w:bottom w:w="0" w:type="dxa"/>
              <w:right w:w="70" w:type="dxa"/>
            </w:tcMar>
            <w:vAlign w:val="bottom"/>
            <w:hideMark/>
          </w:tcPr>
          <w:p w:rsidR="005E73BF" w:rsidRDefault="005E73BF" w:rsidP="0014204B">
            <w:pPr>
              <w:spacing w:after="0"/>
              <w:rPr>
                <w:rFonts w:ascii="Calibri" w:eastAsia="Calibri" w:hAnsi="Calibri"/>
                <w:color w:val="000000"/>
              </w:rPr>
            </w:pPr>
          </w:p>
          <w:p w:rsidR="007C7742" w:rsidRPr="007C7742" w:rsidRDefault="007C7742" w:rsidP="0014204B">
            <w:pPr>
              <w:spacing w:after="0"/>
              <w:rPr>
                <w:rFonts w:ascii="Calibri" w:eastAsia="Calibri" w:hAnsi="Calibri"/>
                <w:b/>
                <w:color w:val="000000"/>
              </w:rPr>
            </w:pPr>
            <w:r>
              <w:rPr>
                <w:rFonts w:ascii="Calibri" w:eastAsia="Calibri" w:hAnsi="Calibri"/>
                <w:b/>
                <w:color w:val="000000"/>
              </w:rPr>
              <w:t>Finansiering</w:t>
            </w:r>
          </w:p>
        </w:tc>
        <w:tc>
          <w:tcPr>
            <w:tcW w:w="810" w:type="dxa"/>
            <w:tcBorders>
              <w:bottom w:val="single" w:sz="8" w:space="0" w:color="auto"/>
            </w:tcBorders>
            <w:noWrap/>
            <w:tcMar>
              <w:top w:w="0" w:type="dxa"/>
              <w:left w:w="70" w:type="dxa"/>
              <w:bottom w:w="0" w:type="dxa"/>
              <w:right w:w="70" w:type="dxa"/>
            </w:tcMar>
            <w:vAlign w:val="bottom"/>
            <w:hideMark/>
          </w:tcPr>
          <w:p w:rsidR="005E73BF" w:rsidRPr="00F54AC4" w:rsidRDefault="005E73BF" w:rsidP="0014204B">
            <w:pPr>
              <w:spacing w:after="0"/>
              <w:rPr>
                <w:rFonts w:ascii="Times New Roman" w:hAnsi="Times New Roman"/>
                <w:sz w:val="20"/>
              </w:rPr>
            </w:pPr>
          </w:p>
        </w:tc>
        <w:tc>
          <w:tcPr>
            <w:tcW w:w="930" w:type="dxa"/>
            <w:noWrap/>
            <w:tcMar>
              <w:top w:w="0" w:type="dxa"/>
              <w:left w:w="70" w:type="dxa"/>
              <w:bottom w:w="0" w:type="dxa"/>
              <w:right w:w="70" w:type="dxa"/>
            </w:tcMar>
            <w:vAlign w:val="bottom"/>
            <w:hideMark/>
          </w:tcPr>
          <w:p w:rsidR="005E73BF" w:rsidRPr="00F54AC4" w:rsidRDefault="005E73BF" w:rsidP="0014204B">
            <w:pPr>
              <w:spacing w:after="0"/>
              <w:rPr>
                <w:rFonts w:ascii="Times New Roman" w:hAnsi="Times New Roman"/>
                <w:sz w:val="20"/>
              </w:rPr>
            </w:pPr>
          </w:p>
        </w:tc>
        <w:tc>
          <w:tcPr>
            <w:tcW w:w="930" w:type="dxa"/>
            <w:noWrap/>
            <w:tcMar>
              <w:top w:w="0" w:type="dxa"/>
              <w:left w:w="70" w:type="dxa"/>
              <w:bottom w:w="0" w:type="dxa"/>
              <w:right w:w="70" w:type="dxa"/>
            </w:tcMar>
            <w:vAlign w:val="bottom"/>
            <w:hideMark/>
          </w:tcPr>
          <w:p w:rsidR="005E73BF" w:rsidRPr="00F54AC4" w:rsidRDefault="005E73BF" w:rsidP="0014204B">
            <w:pPr>
              <w:spacing w:after="0"/>
              <w:rPr>
                <w:rFonts w:ascii="Times New Roman" w:hAnsi="Times New Roman"/>
                <w:sz w:val="20"/>
              </w:rPr>
            </w:pPr>
          </w:p>
        </w:tc>
        <w:tc>
          <w:tcPr>
            <w:tcW w:w="991" w:type="dxa"/>
            <w:noWrap/>
            <w:tcMar>
              <w:top w:w="0" w:type="dxa"/>
              <w:left w:w="70" w:type="dxa"/>
              <w:bottom w:w="0" w:type="dxa"/>
              <w:right w:w="70" w:type="dxa"/>
            </w:tcMar>
            <w:vAlign w:val="bottom"/>
            <w:hideMark/>
          </w:tcPr>
          <w:p w:rsidR="005E73BF" w:rsidRPr="00F54AC4" w:rsidRDefault="005E73BF" w:rsidP="0014204B">
            <w:pPr>
              <w:spacing w:after="0"/>
              <w:rPr>
                <w:rFonts w:ascii="Times New Roman" w:hAnsi="Times New Roman"/>
                <w:sz w:val="20"/>
              </w:rPr>
            </w:pPr>
          </w:p>
        </w:tc>
      </w:tr>
      <w:tr w:rsidR="005E73BF" w:rsidRPr="00F54AC4" w:rsidTr="007C7742">
        <w:trPr>
          <w:trHeight w:val="290"/>
        </w:trPr>
        <w:tc>
          <w:tcPr>
            <w:tcW w:w="3548" w:type="dxa"/>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rPr>
                <w:rFonts w:ascii="Calibri" w:eastAsia="Calibri" w:hAnsi="Calibri"/>
                <w:bCs/>
                <w:color w:val="000000"/>
              </w:rPr>
            </w:pPr>
            <w:r w:rsidRPr="00F54AC4">
              <w:rPr>
                <w:rFonts w:ascii="Calibri" w:eastAsia="Calibri" w:hAnsi="Calibri"/>
                <w:bCs/>
                <w:color w:val="000000"/>
              </w:rPr>
              <w:t>Befintliga anslag</w:t>
            </w:r>
          </w:p>
        </w:tc>
        <w:tc>
          <w:tcPr>
            <w:tcW w:w="8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color w:val="000000"/>
              </w:rPr>
            </w:pPr>
            <w:proofErr w:type="gramStart"/>
            <w:r w:rsidRPr="00F54AC4">
              <w:rPr>
                <w:rFonts w:ascii="Calibri" w:eastAsia="Calibri" w:hAnsi="Calibri"/>
                <w:color w:val="000000"/>
              </w:rPr>
              <w:t>-</w:t>
            </w:r>
            <w:proofErr w:type="gramEnd"/>
            <w:r w:rsidRPr="00F54AC4">
              <w:rPr>
                <w:rFonts w:ascii="Calibri" w:eastAsia="Calibri" w:hAnsi="Calibri"/>
                <w:color w:val="000000"/>
              </w:rPr>
              <w:t>177</w:t>
            </w:r>
          </w:p>
        </w:tc>
        <w:tc>
          <w:tcPr>
            <w:tcW w:w="93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color w:val="000000"/>
              </w:rPr>
            </w:pPr>
            <w:proofErr w:type="gramStart"/>
            <w:r w:rsidRPr="00F54AC4">
              <w:rPr>
                <w:rFonts w:ascii="Calibri" w:eastAsia="Calibri" w:hAnsi="Calibri"/>
                <w:color w:val="000000"/>
              </w:rPr>
              <w:t>-</w:t>
            </w:r>
            <w:proofErr w:type="gramEnd"/>
            <w:r w:rsidRPr="00F54AC4">
              <w:rPr>
                <w:rFonts w:ascii="Calibri" w:eastAsia="Calibri" w:hAnsi="Calibri"/>
                <w:color w:val="000000"/>
              </w:rPr>
              <w:t>163</w:t>
            </w:r>
          </w:p>
        </w:tc>
        <w:tc>
          <w:tcPr>
            <w:tcW w:w="93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color w:val="000000"/>
              </w:rPr>
            </w:pPr>
            <w:proofErr w:type="gramStart"/>
            <w:r w:rsidRPr="00F54AC4">
              <w:rPr>
                <w:rFonts w:ascii="Calibri" w:eastAsia="Calibri" w:hAnsi="Calibri"/>
                <w:color w:val="000000"/>
              </w:rPr>
              <w:t>-</w:t>
            </w:r>
            <w:proofErr w:type="gramEnd"/>
            <w:r w:rsidRPr="00F54AC4">
              <w:rPr>
                <w:rFonts w:ascii="Calibri" w:eastAsia="Calibri" w:hAnsi="Calibri"/>
                <w:color w:val="000000"/>
              </w:rPr>
              <w:t>150</w:t>
            </w:r>
          </w:p>
        </w:tc>
        <w:tc>
          <w:tcPr>
            <w:tcW w:w="99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color w:val="000000"/>
              </w:rPr>
            </w:pPr>
            <w:proofErr w:type="gramStart"/>
            <w:r w:rsidRPr="00F54AC4">
              <w:rPr>
                <w:rFonts w:ascii="Calibri" w:eastAsia="Calibri" w:hAnsi="Calibri"/>
                <w:color w:val="000000"/>
              </w:rPr>
              <w:t>-</w:t>
            </w:r>
            <w:proofErr w:type="gramEnd"/>
            <w:r w:rsidRPr="00F54AC4">
              <w:rPr>
                <w:rFonts w:ascii="Calibri" w:eastAsia="Calibri" w:hAnsi="Calibri"/>
                <w:color w:val="000000"/>
              </w:rPr>
              <w:t>150</w:t>
            </w:r>
          </w:p>
        </w:tc>
      </w:tr>
      <w:tr w:rsidR="005E73BF" w:rsidRPr="00F54AC4" w:rsidTr="001329C7">
        <w:trPr>
          <w:trHeight w:val="290"/>
        </w:trPr>
        <w:tc>
          <w:tcPr>
            <w:tcW w:w="354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rPr>
                <w:rFonts w:ascii="Calibri" w:eastAsia="Calibri" w:hAnsi="Calibri"/>
                <w:bCs/>
                <w:color w:val="000000"/>
              </w:rPr>
            </w:pPr>
            <w:proofErr w:type="gramStart"/>
            <w:r w:rsidRPr="00F54AC4">
              <w:rPr>
                <w:rFonts w:ascii="Calibri" w:eastAsia="Calibri" w:hAnsi="Calibri"/>
                <w:bCs/>
                <w:color w:val="000000"/>
              </w:rPr>
              <w:t>Bidrag</w:t>
            </w:r>
            <w:proofErr w:type="gramEnd"/>
            <w:r>
              <w:rPr>
                <w:rFonts w:ascii="Calibri" w:eastAsia="Calibri" w:hAnsi="Calibri"/>
                <w:bCs/>
                <w:color w:val="000000"/>
              </w:rPr>
              <w:t xml:space="preserve"> från andra myndigheter</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color w:val="000000"/>
              </w:rPr>
            </w:pPr>
            <w:proofErr w:type="gramStart"/>
            <w:r w:rsidRPr="00F54AC4">
              <w:rPr>
                <w:rFonts w:ascii="Calibri" w:eastAsia="Calibri" w:hAnsi="Calibri"/>
                <w:color w:val="000000"/>
              </w:rPr>
              <w:t>-</w:t>
            </w:r>
            <w:proofErr w:type="gramEnd"/>
            <w:r w:rsidRPr="00F54AC4">
              <w:rPr>
                <w:rFonts w:ascii="Calibri" w:eastAsia="Calibri" w:hAnsi="Calibri"/>
                <w:color w:val="000000"/>
              </w:rPr>
              <w:t>7</w:t>
            </w:r>
          </w:p>
        </w:tc>
        <w:tc>
          <w:tcPr>
            <w:tcW w:w="9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color w:val="000000"/>
              </w:rPr>
            </w:pPr>
            <w:proofErr w:type="gramStart"/>
            <w:r w:rsidRPr="00F54AC4">
              <w:rPr>
                <w:rFonts w:ascii="Calibri" w:eastAsia="Calibri" w:hAnsi="Calibri"/>
                <w:color w:val="000000"/>
              </w:rPr>
              <w:t>-</w:t>
            </w:r>
            <w:proofErr w:type="gramEnd"/>
            <w:r w:rsidRPr="00F54AC4">
              <w:rPr>
                <w:rFonts w:ascii="Calibri" w:eastAsia="Calibri" w:hAnsi="Calibri"/>
                <w:color w:val="000000"/>
              </w:rPr>
              <w:t>7</w:t>
            </w:r>
          </w:p>
        </w:tc>
        <w:tc>
          <w:tcPr>
            <w:tcW w:w="9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color w:val="000000"/>
              </w:rPr>
            </w:pPr>
            <w:proofErr w:type="gramStart"/>
            <w:r w:rsidRPr="00F54AC4">
              <w:rPr>
                <w:rFonts w:ascii="Calibri" w:eastAsia="Calibri" w:hAnsi="Calibri"/>
                <w:color w:val="000000"/>
              </w:rPr>
              <w:t>-</w:t>
            </w:r>
            <w:proofErr w:type="gramEnd"/>
            <w:r w:rsidRPr="00F54AC4">
              <w:rPr>
                <w:rFonts w:ascii="Calibri" w:eastAsia="Calibri" w:hAnsi="Calibri"/>
                <w:color w:val="000000"/>
              </w:rPr>
              <w:t>7</w:t>
            </w:r>
          </w:p>
        </w:tc>
        <w:tc>
          <w:tcPr>
            <w:tcW w:w="99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color w:val="000000"/>
              </w:rPr>
            </w:pPr>
            <w:proofErr w:type="gramStart"/>
            <w:r w:rsidRPr="00F54AC4">
              <w:rPr>
                <w:rFonts w:ascii="Calibri" w:eastAsia="Calibri" w:hAnsi="Calibri"/>
                <w:color w:val="000000"/>
              </w:rPr>
              <w:t>-</w:t>
            </w:r>
            <w:proofErr w:type="gramEnd"/>
            <w:r w:rsidRPr="00F54AC4">
              <w:rPr>
                <w:rFonts w:ascii="Calibri" w:eastAsia="Calibri" w:hAnsi="Calibri"/>
                <w:color w:val="000000"/>
              </w:rPr>
              <w:t>7</w:t>
            </w:r>
          </w:p>
        </w:tc>
      </w:tr>
      <w:tr w:rsidR="005E73BF" w:rsidRPr="00F54AC4" w:rsidTr="001329C7">
        <w:trPr>
          <w:trHeight w:val="290"/>
        </w:trPr>
        <w:tc>
          <w:tcPr>
            <w:tcW w:w="354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rsidR="005E73BF" w:rsidRPr="00F54AC4" w:rsidRDefault="005E73BF" w:rsidP="0014204B">
            <w:pPr>
              <w:spacing w:after="0"/>
              <w:rPr>
                <w:rFonts w:ascii="Calibri" w:eastAsia="Calibri" w:hAnsi="Calibri"/>
                <w:bCs/>
                <w:color w:val="000000"/>
              </w:rPr>
            </w:pPr>
            <w:r>
              <w:rPr>
                <w:rFonts w:ascii="Calibri" w:eastAsia="Calibri" w:hAnsi="Calibri"/>
                <w:bCs/>
                <w:color w:val="000000"/>
              </w:rPr>
              <w:t>Del av varaktig anslagsomföring (</w:t>
            </w:r>
            <w:proofErr w:type="spellStart"/>
            <w:r>
              <w:rPr>
                <w:rFonts w:ascii="Calibri" w:eastAsia="Calibri" w:hAnsi="Calibri"/>
                <w:bCs/>
                <w:color w:val="000000"/>
              </w:rPr>
              <w:t>B.prop</w:t>
            </w:r>
            <w:proofErr w:type="spellEnd"/>
            <w:r>
              <w:rPr>
                <w:rFonts w:ascii="Calibri" w:eastAsia="Calibri" w:hAnsi="Calibri"/>
                <w:bCs/>
                <w:color w:val="000000"/>
              </w:rPr>
              <w:t xml:space="preserve"> 2017)</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E73BF" w:rsidRPr="00F54AC4" w:rsidRDefault="001329C7" w:rsidP="0014204B">
            <w:pPr>
              <w:spacing w:after="0"/>
              <w:jc w:val="right"/>
              <w:rPr>
                <w:rFonts w:ascii="Calibri" w:eastAsia="Calibri" w:hAnsi="Calibri"/>
                <w:color w:val="000000"/>
              </w:rPr>
            </w:pPr>
            <w:r>
              <w:rPr>
                <w:rFonts w:ascii="Calibri" w:eastAsia="Calibri" w:hAnsi="Calibri"/>
                <w:color w:val="000000"/>
              </w:rPr>
              <w:t>n/a</w:t>
            </w:r>
          </w:p>
        </w:tc>
        <w:tc>
          <w:tcPr>
            <w:tcW w:w="9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E73BF" w:rsidRPr="00F54AC4" w:rsidRDefault="005E73BF" w:rsidP="0014204B">
            <w:pPr>
              <w:spacing w:after="0"/>
              <w:jc w:val="right"/>
              <w:rPr>
                <w:rFonts w:ascii="Calibri" w:eastAsia="Calibri" w:hAnsi="Calibri"/>
                <w:color w:val="000000"/>
              </w:rPr>
            </w:pPr>
            <w:proofErr w:type="gramStart"/>
            <w:r>
              <w:rPr>
                <w:rFonts w:ascii="Calibri" w:eastAsia="Calibri" w:hAnsi="Calibri"/>
                <w:color w:val="000000"/>
              </w:rPr>
              <w:t>-</w:t>
            </w:r>
            <w:proofErr w:type="gramEnd"/>
            <w:r>
              <w:rPr>
                <w:rFonts w:ascii="Calibri" w:eastAsia="Calibri" w:hAnsi="Calibri"/>
                <w:color w:val="000000"/>
              </w:rPr>
              <w:t>19</w:t>
            </w:r>
          </w:p>
        </w:tc>
        <w:tc>
          <w:tcPr>
            <w:tcW w:w="930"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E73BF" w:rsidRPr="00F54AC4" w:rsidRDefault="005E73BF" w:rsidP="0014204B">
            <w:pPr>
              <w:spacing w:after="0"/>
              <w:jc w:val="right"/>
              <w:rPr>
                <w:rFonts w:ascii="Calibri" w:eastAsia="Calibri" w:hAnsi="Calibri"/>
                <w:color w:val="000000"/>
              </w:rPr>
            </w:pPr>
            <w:proofErr w:type="gramStart"/>
            <w:r>
              <w:rPr>
                <w:rFonts w:ascii="Calibri" w:eastAsia="Calibri" w:hAnsi="Calibri"/>
                <w:color w:val="000000"/>
              </w:rPr>
              <w:t>-</w:t>
            </w:r>
            <w:proofErr w:type="gramEnd"/>
            <w:r>
              <w:rPr>
                <w:rFonts w:ascii="Calibri" w:eastAsia="Calibri" w:hAnsi="Calibri"/>
                <w:color w:val="000000"/>
              </w:rPr>
              <w:t>19</w:t>
            </w:r>
          </w:p>
        </w:tc>
        <w:tc>
          <w:tcPr>
            <w:tcW w:w="991" w:type="dxa"/>
            <w:tcBorders>
              <w:top w:val="nil"/>
              <w:left w:val="nil"/>
              <w:bottom w:val="single" w:sz="8" w:space="0" w:color="auto"/>
              <w:right w:val="single" w:sz="8" w:space="0" w:color="auto"/>
            </w:tcBorders>
            <w:noWrap/>
            <w:tcMar>
              <w:top w:w="0" w:type="dxa"/>
              <w:left w:w="70" w:type="dxa"/>
              <w:bottom w:w="0" w:type="dxa"/>
              <w:right w:w="70" w:type="dxa"/>
            </w:tcMar>
            <w:vAlign w:val="bottom"/>
          </w:tcPr>
          <w:p w:rsidR="005E73BF" w:rsidRPr="00F54AC4" w:rsidRDefault="005E73BF" w:rsidP="0014204B">
            <w:pPr>
              <w:spacing w:after="0"/>
              <w:jc w:val="right"/>
              <w:rPr>
                <w:rFonts w:ascii="Calibri" w:eastAsia="Calibri" w:hAnsi="Calibri"/>
                <w:color w:val="000000"/>
              </w:rPr>
            </w:pPr>
            <w:proofErr w:type="gramStart"/>
            <w:r>
              <w:rPr>
                <w:rFonts w:ascii="Calibri" w:eastAsia="Calibri" w:hAnsi="Calibri"/>
                <w:color w:val="000000"/>
              </w:rPr>
              <w:t>-</w:t>
            </w:r>
            <w:proofErr w:type="gramEnd"/>
            <w:r>
              <w:rPr>
                <w:rFonts w:ascii="Calibri" w:eastAsia="Calibri" w:hAnsi="Calibri"/>
                <w:color w:val="000000"/>
              </w:rPr>
              <w:t>19</w:t>
            </w:r>
          </w:p>
        </w:tc>
      </w:tr>
      <w:tr w:rsidR="005E73BF" w:rsidRPr="00F54AC4" w:rsidTr="001329C7">
        <w:trPr>
          <w:trHeight w:val="130"/>
        </w:trPr>
        <w:tc>
          <w:tcPr>
            <w:tcW w:w="3548" w:type="dxa"/>
            <w:noWrap/>
            <w:tcMar>
              <w:top w:w="0" w:type="dxa"/>
              <w:left w:w="70" w:type="dxa"/>
              <w:bottom w:w="0" w:type="dxa"/>
              <w:right w:w="70" w:type="dxa"/>
            </w:tcMar>
            <w:vAlign w:val="bottom"/>
            <w:hideMark/>
          </w:tcPr>
          <w:p w:rsidR="005E73BF" w:rsidRPr="00F54AC4" w:rsidRDefault="005E73BF" w:rsidP="0014204B">
            <w:pPr>
              <w:spacing w:after="0"/>
              <w:rPr>
                <w:rFonts w:ascii="Calibri" w:eastAsia="Calibri" w:hAnsi="Calibri"/>
                <w:color w:val="000000"/>
              </w:rPr>
            </w:pPr>
          </w:p>
        </w:tc>
        <w:tc>
          <w:tcPr>
            <w:tcW w:w="810" w:type="dxa"/>
            <w:noWrap/>
            <w:tcMar>
              <w:top w:w="0" w:type="dxa"/>
              <w:left w:w="70" w:type="dxa"/>
              <w:bottom w:w="0" w:type="dxa"/>
              <w:right w:w="70" w:type="dxa"/>
            </w:tcMar>
            <w:vAlign w:val="bottom"/>
            <w:hideMark/>
          </w:tcPr>
          <w:p w:rsidR="005E73BF" w:rsidRPr="00F54AC4" w:rsidRDefault="005E73BF" w:rsidP="0014204B">
            <w:pPr>
              <w:spacing w:after="0"/>
              <w:rPr>
                <w:rFonts w:ascii="Times New Roman" w:hAnsi="Times New Roman"/>
                <w:sz w:val="20"/>
              </w:rPr>
            </w:pPr>
          </w:p>
        </w:tc>
        <w:tc>
          <w:tcPr>
            <w:tcW w:w="930" w:type="dxa"/>
            <w:noWrap/>
            <w:tcMar>
              <w:top w:w="0" w:type="dxa"/>
              <w:left w:w="70" w:type="dxa"/>
              <w:bottom w:w="0" w:type="dxa"/>
              <w:right w:w="70" w:type="dxa"/>
            </w:tcMar>
            <w:vAlign w:val="bottom"/>
            <w:hideMark/>
          </w:tcPr>
          <w:p w:rsidR="005E73BF" w:rsidRPr="00F54AC4" w:rsidRDefault="005E73BF" w:rsidP="0014204B">
            <w:pPr>
              <w:spacing w:after="0"/>
              <w:rPr>
                <w:rFonts w:ascii="Times New Roman" w:hAnsi="Times New Roman"/>
                <w:sz w:val="20"/>
              </w:rPr>
            </w:pPr>
          </w:p>
        </w:tc>
        <w:tc>
          <w:tcPr>
            <w:tcW w:w="930" w:type="dxa"/>
            <w:noWrap/>
            <w:tcMar>
              <w:top w:w="0" w:type="dxa"/>
              <w:left w:w="70" w:type="dxa"/>
              <w:bottom w:w="0" w:type="dxa"/>
              <w:right w:w="70" w:type="dxa"/>
            </w:tcMar>
            <w:vAlign w:val="bottom"/>
            <w:hideMark/>
          </w:tcPr>
          <w:p w:rsidR="005E73BF" w:rsidRPr="00F54AC4" w:rsidRDefault="005E73BF" w:rsidP="0014204B">
            <w:pPr>
              <w:spacing w:after="0"/>
              <w:rPr>
                <w:rFonts w:ascii="Times New Roman" w:hAnsi="Times New Roman"/>
                <w:sz w:val="20"/>
              </w:rPr>
            </w:pPr>
          </w:p>
        </w:tc>
        <w:tc>
          <w:tcPr>
            <w:tcW w:w="991" w:type="dxa"/>
            <w:noWrap/>
            <w:tcMar>
              <w:top w:w="0" w:type="dxa"/>
              <w:left w:w="70" w:type="dxa"/>
              <w:bottom w:w="0" w:type="dxa"/>
              <w:right w:w="70" w:type="dxa"/>
            </w:tcMar>
            <w:vAlign w:val="bottom"/>
            <w:hideMark/>
          </w:tcPr>
          <w:p w:rsidR="005E73BF" w:rsidRPr="00F54AC4" w:rsidRDefault="005E73BF" w:rsidP="0014204B">
            <w:pPr>
              <w:spacing w:after="0"/>
              <w:rPr>
                <w:rFonts w:ascii="Times New Roman" w:hAnsi="Times New Roman"/>
                <w:sz w:val="20"/>
              </w:rPr>
            </w:pPr>
          </w:p>
        </w:tc>
      </w:tr>
      <w:tr w:rsidR="005E73BF" w:rsidRPr="00F54AC4" w:rsidTr="001329C7">
        <w:trPr>
          <w:trHeight w:val="290"/>
        </w:trPr>
        <w:tc>
          <w:tcPr>
            <w:tcW w:w="354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rPr>
                <w:rFonts w:ascii="Calibri" w:eastAsia="Calibri" w:hAnsi="Calibri"/>
                <w:b/>
                <w:bCs/>
                <w:color w:val="000000"/>
              </w:rPr>
            </w:pPr>
            <w:r>
              <w:rPr>
                <w:rFonts w:ascii="Calibri" w:eastAsia="Calibri" w:hAnsi="Calibri"/>
                <w:b/>
                <w:bCs/>
                <w:color w:val="000000"/>
              </w:rPr>
              <w:t>Reviderat finansieringsbehov</w:t>
            </w:r>
          </w:p>
        </w:tc>
        <w:tc>
          <w:tcPr>
            <w:tcW w:w="8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1329C7" w:rsidP="007C7742">
            <w:pPr>
              <w:spacing w:after="0"/>
              <w:jc w:val="right"/>
              <w:rPr>
                <w:rFonts w:ascii="Calibri" w:eastAsia="Calibri" w:hAnsi="Calibri"/>
                <w:color w:val="000000"/>
              </w:rPr>
            </w:pPr>
            <w:r>
              <w:rPr>
                <w:rFonts w:ascii="Calibri" w:eastAsia="Calibri" w:hAnsi="Calibri"/>
                <w:color w:val="000000"/>
              </w:rPr>
              <w:t>n/a</w:t>
            </w:r>
          </w:p>
        </w:tc>
        <w:tc>
          <w:tcPr>
            <w:tcW w:w="93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b/>
                <w:color w:val="000000"/>
              </w:rPr>
            </w:pPr>
            <w:r w:rsidRPr="00F54AC4">
              <w:rPr>
                <w:rFonts w:ascii="Calibri" w:eastAsia="Calibri" w:hAnsi="Calibri"/>
                <w:b/>
                <w:color w:val="000000"/>
              </w:rPr>
              <w:t>1</w:t>
            </w:r>
            <w:r>
              <w:rPr>
                <w:rFonts w:ascii="Calibri" w:eastAsia="Calibri" w:hAnsi="Calibri"/>
                <w:b/>
                <w:color w:val="000000"/>
              </w:rPr>
              <w:t>29</w:t>
            </w:r>
          </w:p>
        </w:tc>
        <w:tc>
          <w:tcPr>
            <w:tcW w:w="93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b/>
                <w:color w:val="000000"/>
              </w:rPr>
            </w:pPr>
            <w:r w:rsidRPr="00F54AC4">
              <w:rPr>
                <w:rFonts w:ascii="Calibri" w:eastAsia="Calibri" w:hAnsi="Calibri"/>
                <w:b/>
                <w:color w:val="000000"/>
              </w:rPr>
              <w:t>1</w:t>
            </w:r>
            <w:r>
              <w:rPr>
                <w:rFonts w:ascii="Calibri" w:eastAsia="Calibri" w:hAnsi="Calibri"/>
                <w:b/>
                <w:color w:val="000000"/>
              </w:rPr>
              <w:t>41</w:t>
            </w:r>
          </w:p>
        </w:tc>
        <w:tc>
          <w:tcPr>
            <w:tcW w:w="99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5E73BF" w:rsidRPr="00F54AC4" w:rsidRDefault="005E73BF" w:rsidP="0014204B">
            <w:pPr>
              <w:spacing w:after="0"/>
              <w:jc w:val="right"/>
              <w:rPr>
                <w:rFonts w:ascii="Calibri" w:eastAsia="Calibri" w:hAnsi="Calibri"/>
                <w:b/>
                <w:color w:val="000000"/>
              </w:rPr>
            </w:pPr>
            <w:r>
              <w:rPr>
                <w:rFonts w:ascii="Calibri" w:eastAsia="Calibri" w:hAnsi="Calibri"/>
                <w:b/>
                <w:color w:val="000000"/>
              </w:rPr>
              <w:t>140</w:t>
            </w:r>
          </w:p>
        </w:tc>
      </w:tr>
    </w:tbl>
    <w:p w:rsidR="005E73BF" w:rsidRDefault="005E73BF" w:rsidP="005E73BF">
      <w:pPr>
        <w:spacing w:before="120" w:after="0"/>
        <w:rPr>
          <w:sz w:val="24"/>
          <w:szCs w:val="24"/>
        </w:rPr>
      </w:pPr>
    </w:p>
    <w:p w:rsidR="005E73BF" w:rsidRPr="00E50958" w:rsidRDefault="005E73BF" w:rsidP="005E73BF">
      <w:pPr>
        <w:spacing w:before="120" w:after="0"/>
        <w:rPr>
          <w:sz w:val="24"/>
          <w:szCs w:val="24"/>
        </w:rPr>
      </w:pPr>
      <w:r w:rsidRPr="00E50958">
        <w:rPr>
          <w:sz w:val="24"/>
          <w:szCs w:val="24"/>
        </w:rPr>
        <w:t xml:space="preserve">I tabellen inkluderas de utvecklingskostnader som redovisats i Lantmäteriets budgetunderlag 2017-2019, t.ex. kostnader för 3D projektets genomförande, ajourhållning av höjddata (specialanslag), digitalisering av historiska flygbilder, färdigställande (och drift) av hydrografi i nätverk </w:t>
      </w:r>
      <w:r w:rsidR="000F699D">
        <w:rPr>
          <w:sz w:val="24"/>
          <w:szCs w:val="24"/>
        </w:rPr>
        <w:t>med mera</w:t>
      </w:r>
      <w:r w:rsidRPr="00E50958">
        <w:rPr>
          <w:sz w:val="24"/>
          <w:szCs w:val="24"/>
        </w:rPr>
        <w:t>.</w:t>
      </w:r>
    </w:p>
    <w:p w:rsidR="005E73BF" w:rsidRPr="00E50958" w:rsidRDefault="005E73BF" w:rsidP="005E73BF">
      <w:pPr>
        <w:spacing w:before="120" w:after="0"/>
        <w:rPr>
          <w:sz w:val="24"/>
          <w:szCs w:val="24"/>
        </w:rPr>
      </w:pPr>
      <w:r w:rsidRPr="00E50958">
        <w:rPr>
          <w:sz w:val="24"/>
          <w:szCs w:val="24"/>
        </w:rPr>
        <w:t>Posten bidrag från andra myndigheter avser bidrag från t.ex. Sjöfartsverket, SMHI, MSB för data och arbete kopplat till olika samarbetsprojekt, t</w:t>
      </w:r>
      <w:r>
        <w:rPr>
          <w:sz w:val="24"/>
          <w:szCs w:val="24"/>
        </w:rPr>
        <w:t>ill exempel</w:t>
      </w:r>
      <w:r w:rsidRPr="00E50958">
        <w:rPr>
          <w:sz w:val="24"/>
          <w:szCs w:val="24"/>
        </w:rPr>
        <w:t xml:space="preserve"> gemensam strandlinje, hydrografiskt nätverk, skanning av historiska flygbilder etc.</w:t>
      </w:r>
    </w:p>
    <w:p w:rsidR="005E73BF" w:rsidRPr="00E50958" w:rsidRDefault="005E73BF" w:rsidP="005E73BF">
      <w:pPr>
        <w:spacing w:before="120" w:after="0"/>
        <w:rPr>
          <w:sz w:val="24"/>
          <w:szCs w:val="24"/>
        </w:rPr>
      </w:pPr>
      <w:r w:rsidRPr="00E50958">
        <w:rPr>
          <w:sz w:val="24"/>
          <w:szCs w:val="24"/>
        </w:rPr>
        <w:lastRenderedPageBreak/>
        <w:t>Vad gäller det varaktigt utökade anslaget om c</w:t>
      </w:r>
      <w:r w:rsidR="006C5CB9">
        <w:rPr>
          <w:sz w:val="24"/>
          <w:szCs w:val="24"/>
        </w:rPr>
        <w:t>irka</w:t>
      </w:r>
      <w:r w:rsidRPr="00E50958">
        <w:rPr>
          <w:sz w:val="24"/>
          <w:szCs w:val="24"/>
        </w:rPr>
        <w:t xml:space="preserve"> 35 mkr enligt förslaget i BP17 avser c</w:t>
      </w:r>
      <w:r w:rsidR="006C5CB9">
        <w:rPr>
          <w:sz w:val="24"/>
          <w:szCs w:val="24"/>
        </w:rPr>
        <w:t>irka</w:t>
      </w:r>
      <w:r w:rsidRPr="00E50958">
        <w:rPr>
          <w:sz w:val="24"/>
          <w:szCs w:val="24"/>
        </w:rPr>
        <w:t xml:space="preserve"> 19 mkr informationen i fastighetskartan.</w:t>
      </w:r>
    </w:p>
    <w:p w:rsidR="005E73BF" w:rsidRPr="00E50958" w:rsidRDefault="005E73BF" w:rsidP="005E73BF">
      <w:pPr>
        <w:spacing w:before="120" w:after="0"/>
        <w:rPr>
          <w:sz w:val="24"/>
          <w:szCs w:val="24"/>
        </w:rPr>
      </w:pPr>
      <w:r w:rsidRPr="00E50958">
        <w:rPr>
          <w:sz w:val="24"/>
          <w:szCs w:val="24"/>
        </w:rPr>
        <w:t xml:space="preserve">Alla belopp i tabellen är i 2016 års prisnivå. I kostnadsbedömningen ingår kostnaderna för att samla in, förvalta, lagra, tillhandahålla samt utveckla informationen.  Anledningen till att de befintliga anslagen minskar över tiden är att anslaget för insamling av höjddata avtar och på sikt upphör. </w:t>
      </w:r>
    </w:p>
    <w:p w:rsidR="005E73BF" w:rsidRPr="00E50958" w:rsidRDefault="005E73BF" w:rsidP="005E73BF">
      <w:pPr>
        <w:spacing w:before="120" w:after="0"/>
        <w:rPr>
          <w:sz w:val="24"/>
          <w:szCs w:val="24"/>
        </w:rPr>
      </w:pPr>
    </w:p>
    <w:p w:rsidR="005E73BF" w:rsidRPr="00E50958" w:rsidRDefault="005E73BF" w:rsidP="005E73BF">
      <w:pPr>
        <w:pStyle w:val="Rubrik3"/>
      </w:pPr>
      <w:r w:rsidRPr="00E50958">
        <w:t>Kopplingar till utvecklingsuppdraget avseende Digitalt först – för en smartare samhällsbyggnadsprocess</w:t>
      </w:r>
    </w:p>
    <w:p w:rsidR="005E73BF" w:rsidRPr="00E50958" w:rsidRDefault="005E73BF" w:rsidP="005E73BF">
      <w:pPr>
        <w:spacing w:before="120" w:after="0"/>
        <w:rPr>
          <w:sz w:val="24"/>
          <w:szCs w:val="24"/>
        </w:rPr>
      </w:pPr>
      <w:r w:rsidRPr="00E50958">
        <w:rPr>
          <w:sz w:val="24"/>
          <w:szCs w:val="24"/>
        </w:rPr>
        <w:t xml:space="preserve">Inom ramen för utvecklingsuppdraget avser Lantmäteriet analysera om även annan </w:t>
      </w:r>
      <w:proofErr w:type="spellStart"/>
      <w:r w:rsidRPr="00E50958">
        <w:rPr>
          <w:sz w:val="24"/>
          <w:szCs w:val="24"/>
        </w:rPr>
        <w:t>geodata</w:t>
      </w:r>
      <w:proofErr w:type="spellEnd"/>
      <w:r w:rsidRPr="00E50958">
        <w:rPr>
          <w:sz w:val="24"/>
          <w:szCs w:val="24"/>
        </w:rPr>
        <w:t>, t</w:t>
      </w:r>
      <w:r w:rsidR="006C5CB9">
        <w:rPr>
          <w:sz w:val="24"/>
          <w:szCs w:val="24"/>
        </w:rPr>
        <w:t>ill exempel</w:t>
      </w:r>
      <w:r w:rsidRPr="00E50958">
        <w:rPr>
          <w:sz w:val="24"/>
          <w:szCs w:val="24"/>
        </w:rPr>
        <w:t xml:space="preserve"> planer, bestämmelser, Nätverks-RTK etc. behöver öppnas upp för att möjliggöra en effektivare och mer transparent process.</w:t>
      </w:r>
    </w:p>
    <w:p w:rsidR="005E73BF" w:rsidRDefault="005E73BF" w:rsidP="005E73BF">
      <w:pPr>
        <w:spacing w:before="120" w:after="0"/>
        <w:rPr>
          <w:sz w:val="24"/>
          <w:szCs w:val="24"/>
        </w:rPr>
      </w:pPr>
    </w:p>
    <w:p w:rsidR="005E73BF" w:rsidRDefault="005E73BF" w:rsidP="005E73BF"/>
    <w:p w:rsidR="005E73BF" w:rsidRPr="005E73BF" w:rsidRDefault="005E73BF" w:rsidP="005E73BF">
      <w:pPr>
        <w:tabs>
          <w:tab w:val="clear" w:pos="1134"/>
          <w:tab w:val="clear" w:pos="2268"/>
          <w:tab w:val="clear" w:pos="3402"/>
          <w:tab w:val="clear" w:pos="4536"/>
          <w:tab w:val="clear" w:pos="5670"/>
          <w:tab w:val="left" w:pos="284"/>
        </w:tabs>
        <w:rPr>
          <w:lang w:eastAsia="en-US"/>
        </w:rPr>
      </w:pPr>
    </w:p>
    <w:sectPr w:rsidR="005E73BF" w:rsidRPr="005E73BF" w:rsidSect="00091F39">
      <w:headerReference w:type="default" r:id="rId8"/>
      <w:footerReference w:type="default" r:id="rId9"/>
      <w:headerReference w:type="first" r:id="rId10"/>
      <w:footerReference w:type="first" r:id="rId11"/>
      <w:pgSz w:w="11906" w:h="16838"/>
      <w:pgMar w:top="1843" w:right="2268" w:bottom="1418" w:left="2268" w:header="851"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403" w:rsidRDefault="00AC6403" w:rsidP="009A120A">
      <w:pPr>
        <w:spacing w:after="0"/>
      </w:pPr>
      <w:r>
        <w:separator/>
      </w:r>
    </w:p>
  </w:endnote>
  <w:endnote w:type="continuationSeparator" w:id="0">
    <w:p w:rsidR="00AC6403" w:rsidRDefault="00AC6403" w:rsidP="009A12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Fet">
    <w:panose1 w:val="020407020503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77" w:rsidRDefault="006C2CF8" w:rsidP="009D2F77">
    <w:pPr>
      <w:pStyle w:val="Sidfot"/>
      <w:jc w:val="right"/>
    </w:pPr>
    <w:r w:rsidRPr="009D2F77">
      <w:fldChar w:fldCharType="begin"/>
    </w:r>
    <w:r w:rsidRPr="009D2F77">
      <w:instrText>PAGE  \* Arabic  \* MERGEFORMAT</w:instrText>
    </w:r>
    <w:r w:rsidRPr="009D2F77">
      <w:fldChar w:fldCharType="separate"/>
    </w:r>
    <w:r w:rsidR="0071625F">
      <w:rPr>
        <w:noProof/>
      </w:rPr>
      <w:t>3</w:t>
    </w:r>
    <w:r w:rsidRPr="009D2F77">
      <w:fldChar w:fldCharType="end"/>
    </w:r>
    <w:r>
      <w:t>(</w:t>
    </w:r>
    <w:fldSimple w:instr="NUMPAGES  \* Arabic  \* MERGEFORMAT">
      <w:r w:rsidR="0071625F">
        <w:rPr>
          <w:noProof/>
        </w:rPr>
        <w:t>5</w:t>
      </w:r>
    </w:fldSimple>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DE" w:rsidRPr="00515CA7" w:rsidRDefault="00371BDE" w:rsidP="00371BDE">
    <w:pPr>
      <w:tabs>
        <w:tab w:val="clear" w:pos="1134"/>
        <w:tab w:val="clear" w:pos="2268"/>
        <w:tab w:val="clear" w:pos="3402"/>
        <w:tab w:val="clear" w:pos="4536"/>
        <w:tab w:val="clear" w:pos="5670"/>
      </w:tabs>
      <w:autoSpaceDE w:val="0"/>
      <w:autoSpaceDN w:val="0"/>
      <w:adjustRightInd w:val="0"/>
      <w:spacing w:after="0"/>
      <w:jc w:val="center"/>
      <w:rPr>
        <w:rFonts w:asciiTheme="majorHAnsi" w:eastAsiaTheme="minorHAnsi" w:hAnsiTheme="majorHAnsi" w:cs="Verdana"/>
        <w:sz w:val="16"/>
        <w:szCs w:val="16"/>
        <w:lang w:eastAsia="en-US"/>
      </w:rPr>
    </w:pPr>
    <w:r w:rsidRPr="00515CA7">
      <w:rPr>
        <w:rFonts w:asciiTheme="majorHAnsi" w:eastAsiaTheme="minorHAnsi" w:hAnsiTheme="majorHAnsi" w:cs="Verdana"/>
        <w:sz w:val="16"/>
        <w:szCs w:val="16"/>
        <w:lang w:eastAsia="en-US"/>
      </w:rPr>
      <w:t>Lantmäteriet</w:t>
    </w:r>
  </w:p>
  <w:p w:rsidR="00371BDE" w:rsidRPr="00515CA7" w:rsidRDefault="00371BDE" w:rsidP="00371BDE">
    <w:pPr>
      <w:tabs>
        <w:tab w:val="clear" w:pos="1134"/>
        <w:tab w:val="clear" w:pos="2268"/>
        <w:tab w:val="clear" w:pos="3402"/>
        <w:tab w:val="clear" w:pos="4536"/>
        <w:tab w:val="clear" w:pos="5670"/>
      </w:tabs>
      <w:autoSpaceDE w:val="0"/>
      <w:autoSpaceDN w:val="0"/>
      <w:adjustRightInd w:val="0"/>
      <w:spacing w:after="0"/>
      <w:jc w:val="center"/>
      <w:rPr>
        <w:rFonts w:asciiTheme="majorHAnsi" w:eastAsiaTheme="minorHAnsi" w:hAnsiTheme="majorHAnsi" w:cs="Verdana"/>
        <w:sz w:val="16"/>
        <w:szCs w:val="16"/>
        <w:lang w:eastAsia="en-US"/>
      </w:rPr>
    </w:pPr>
    <w:r w:rsidRPr="00515CA7">
      <w:rPr>
        <w:rFonts w:asciiTheme="majorHAnsi" w:eastAsiaTheme="minorHAnsi" w:hAnsiTheme="majorHAnsi" w:cs="Verdana"/>
        <w:sz w:val="14"/>
        <w:szCs w:val="14"/>
        <w:lang w:eastAsia="en-US"/>
      </w:rPr>
      <w:t>BESÖKSADRESS</w:t>
    </w:r>
    <w:r w:rsidRPr="00515CA7">
      <w:rPr>
        <w:rFonts w:asciiTheme="majorHAnsi" w:eastAsiaTheme="minorHAnsi" w:hAnsiTheme="majorHAnsi" w:cs="Verdana"/>
        <w:sz w:val="16"/>
        <w:szCs w:val="16"/>
        <w:lang w:eastAsia="en-US"/>
      </w:rPr>
      <w:t xml:space="preserve"> </w:t>
    </w:r>
    <w:r>
      <w:rPr>
        <w:rFonts w:asciiTheme="majorHAnsi" w:eastAsiaTheme="minorHAnsi" w:hAnsiTheme="majorHAnsi" w:cs="Verdana"/>
        <w:sz w:val="16"/>
        <w:szCs w:val="16"/>
        <w:lang w:eastAsia="en-US"/>
      </w:rPr>
      <w:t xml:space="preserve">Lantmäterigatan 2, 802 80 GÄVLE, </w:t>
    </w:r>
    <w:r w:rsidRPr="00515CA7">
      <w:rPr>
        <w:rFonts w:asciiTheme="majorHAnsi" w:eastAsiaTheme="minorHAnsi" w:hAnsiTheme="majorHAnsi" w:cs="Verdana"/>
        <w:sz w:val="14"/>
        <w:szCs w:val="14"/>
        <w:lang w:eastAsia="en-US"/>
      </w:rPr>
      <w:t>TELEFON</w:t>
    </w:r>
    <w:r w:rsidRPr="00515CA7">
      <w:rPr>
        <w:rFonts w:asciiTheme="majorHAnsi" w:eastAsiaTheme="minorHAnsi" w:hAnsiTheme="majorHAnsi" w:cs="Verdana"/>
        <w:sz w:val="16"/>
        <w:szCs w:val="16"/>
        <w:lang w:eastAsia="en-US"/>
      </w:rPr>
      <w:t xml:space="preserve"> 0771 - 63 63 63</w:t>
    </w:r>
  </w:p>
  <w:p w:rsidR="00371BDE" w:rsidRPr="00515CA7" w:rsidRDefault="00371BDE" w:rsidP="00371BDE">
    <w:pPr>
      <w:pStyle w:val="Sidfot"/>
      <w:jc w:val="center"/>
      <w:rPr>
        <w:rFonts w:asciiTheme="majorHAnsi" w:hAnsiTheme="majorHAnsi"/>
        <w:sz w:val="16"/>
        <w:szCs w:val="16"/>
      </w:rPr>
    </w:pPr>
    <w:r w:rsidRPr="00515CA7">
      <w:rPr>
        <w:rFonts w:asciiTheme="majorHAnsi" w:hAnsiTheme="majorHAnsi" w:cs="Verdana"/>
        <w:szCs w:val="14"/>
      </w:rPr>
      <w:t>E-POST</w:t>
    </w:r>
    <w:r w:rsidRPr="00515CA7">
      <w:rPr>
        <w:rFonts w:asciiTheme="majorHAnsi" w:hAnsiTheme="majorHAnsi" w:cs="Verdana"/>
        <w:sz w:val="16"/>
        <w:szCs w:val="16"/>
      </w:rPr>
      <w:t xml:space="preserve"> lantmateriet@lm.se, </w:t>
    </w:r>
    <w:r w:rsidRPr="00515CA7">
      <w:rPr>
        <w:rFonts w:asciiTheme="majorHAnsi" w:hAnsiTheme="majorHAnsi" w:cs="Verdana"/>
        <w:szCs w:val="14"/>
      </w:rPr>
      <w:t>INTERNET</w:t>
    </w:r>
    <w:r w:rsidRPr="00515CA7">
      <w:rPr>
        <w:rFonts w:asciiTheme="majorHAnsi" w:hAnsiTheme="majorHAnsi" w:cs="Verdana"/>
        <w:sz w:val="16"/>
        <w:szCs w:val="16"/>
      </w:rPr>
      <w:t xml:space="preserve"> www.lantmateriet.se</w:t>
    </w:r>
  </w:p>
  <w:p w:rsidR="00DF1BBD" w:rsidRPr="00371BDE" w:rsidRDefault="00DF1BBD" w:rsidP="00371BD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403" w:rsidRDefault="00AC6403" w:rsidP="009A120A">
      <w:pPr>
        <w:spacing w:after="0"/>
      </w:pPr>
      <w:r>
        <w:separator/>
      </w:r>
    </w:p>
  </w:footnote>
  <w:footnote w:type="continuationSeparator" w:id="0">
    <w:p w:rsidR="00AC6403" w:rsidRDefault="00AC6403" w:rsidP="009A120A">
      <w:pPr>
        <w:spacing w:after="0"/>
      </w:pPr>
      <w:r>
        <w:continuationSeparator/>
      </w:r>
    </w:p>
  </w:footnote>
  <w:footnote w:id="1">
    <w:p w:rsidR="005E73BF" w:rsidRPr="00C23E6F" w:rsidRDefault="005E73BF" w:rsidP="005E73BF">
      <w:pPr>
        <w:pStyle w:val="Fotnotstext"/>
        <w:rPr>
          <w:rFonts w:asciiTheme="majorHAnsi" w:hAnsiTheme="majorHAnsi"/>
        </w:rPr>
      </w:pPr>
      <w:r w:rsidRPr="00C23E6F">
        <w:rPr>
          <w:rStyle w:val="Fotnotsreferens"/>
          <w:rFonts w:asciiTheme="majorHAnsi" w:hAnsiTheme="majorHAnsi"/>
        </w:rPr>
        <w:footnoteRef/>
      </w:r>
      <w:r w:rsidRPr="00C23E6F">
        <w:rPr>
          <w:rFonts w:asciiTheme="majorHAnsi" w:hAnsiTheme="majorHAnsi"/>
        </w:rPr>
        <w:t xml:space="preserve"> </w:t>
      </w:r>
      <w:r w:rsidRPr="00D83BDF">
        <w:rPr>
          <w:rFonts w:ascii="Verdana" w:eastAsia="Calibri" w:hAnsi="Verdana" w:cs="Times New Roman"/>
          <w:sz w:val="16"/>
          <w:szCs w:val="16"/>
        </w:rPr>
        <w:t>Lantmäteriets budgetunderlag 2017-2019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48" w:rsidRPr="004B282C" w:rsidRDefault="004B0048" w:rsidP="004B0048">
    <w:pPr>
      <w:pStyle w:val="Rubrik3"/>
      <w:jc w:val="right"/>
      <w:rPr>
        <w:b w:val="0"/>
      </w:rPr>
    </w:pPr>
    <w:r w:rsidRPr="004B282C">
      <w:rPr>
        <w:b w:val="0"/>
      </w:rPr>
      <w:t>Lantmäteriet</w:t>
    </w:r>
  </w:p>
  <w:p w:rsidR="004B0048" w:rsidRDefault="004B004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BD" w:rsidRDefault="00DF1BBD">
    <w:pPr>
      <w:pStyle w:val="Sidhuvud"/>
    </w:pPr>
    <w:r>
      <w:rPr>
        <w:noProof/>
        <w:lang w:eastAsia="sv-SE"/>
      </w:rPr>
      <w:drawing>
        <wp:inline distT="0" distB="0" distL="0" distR="0" wp14:anchorId="71ACBB28" wp14:editId="0A94EDAA">
          <wp:extent cx="1591059" cy="243840"/>
          <wp:effectExtent l="0" t="0" r="9525"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059" cy="243840"/>
                  </a:xfrm>
                  <a:prstGeom prst="rect">
                    <a:avLst/>
                  </a:prstGeom>
                </pic:spPr>
              </pic:pic>
            </a:graphicData>
          </a:graphic>
        </wp:inline>
      </w:drawing>
    </w:r>
  </w:p>
  <w:p w:rsidR="00DF1BBD" w:rsidRDefault="00DF1BB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C590B8D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72839C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B98037B"/>
    <w:multiLevelType w:val="hybridMultilevel"/>
    <w:tmpl w:val="84FC4046"/>
    <w:lvl w:ilvl="0" w:tplc="041D000F">
      <w:start w:val="1"/>
      <w:numFmt w:val="decimal"/>
      <w:lvlText w:val="%1."/>
      <w:lvlJc w:val="left"/>
      <w:pPr>
        <w:ind w:left="3196" w:hanging="360"/>
      </w:pPr>
    </w:lvl>
    <w:lvl w:ilvl="1" w:tplc="041D0019" w:tentative="1">
      <w:start w:val="1"/>
      <w:numFmt w:val="lowerLetter"/>
      <w:lvlText w:val="%2."/>
      <w:lvlJc w:val="left"/>
      <w:pPr>
        <w:ind w:left="3916" w:hanging="360"/>
      </w:pPr>
    </w:lvl>
    <w:lvl w:ilvl="2" w:tplc="041D001B" w:tentative="1">
      <w:start w:val="1"/>
      <w:numFmt w:val="lowerRoman"/>
      <w:lvlText w:val="%3."/>
      <w:lvlJc w:val="right"/>
      <w:pPr>
        <w:ind w:left="4636" w:hanging="180"/>
      </w:pPr>
    </w:lvl>
    <w:lvl w:ilvl="3" w:tplc="041D000F" w:tentative="1">
      <w:start w:val="1"/>
      <w:numFmt w:val="decimal"/>
      <w:lvlText w:val="%4."/>
      <w:lvlJc w:val="left"/>
      <w:pPr>
        <w:ind w:left="5356" w:hanging="360"/>
      </w:pPr>
    </w:lvl>
    <w:lvl w:ilvl="4" w:tplc="041D0019" w:tentative="1">
      <w:start w:val="1"/>
      <w:numFmt w:val="lowerLetter"/>
      <w:lvlText w:val="%5."/>
      <w:lvlJc w:val="left"/>
      <w:pPr>
        <w:ind w:left="6076" w:hanging="360"/>
      </w:pPr>
    </w:lvl>
    <w:lvl w:ilvl="5" w:tplc="041D001B" w:tentative="1">
      <w:start w:val="1"/>
      <w:numFmt w:val="lowerRoman"/>
      <w:lvlText w:val="%6."/>
      <w:lvlJc w:val="right"/>
      <w:pPr>
        <w:ind w:left="6796" w:hanging="180"/>
      </w:pPr>
    </w:lvl>
    <w:lvl w:ilvl="6" w:tplc="041D000F" w:tentative="1">
      <w:start w:val="1"/>
      <w:numFmt w:val="decimal"/>
      <w:lvlText w:val="%7."/>
      <w:lvlJc w:val="left"/>
      <w:pPr>
        <w:ind w:left="7516" w:hanging="360"/>
      </w:pPr>
    </w:lvl>
    <w:lvl w:ilvl="7" w:tplc="041D0019" w:tentative="1">
      <w:start w:val="1"/>
      <w:numFmt w:val="lowerLetter"/>
      <w:lvlText w:val="%8."/>
      <w:lvlJc w:val="left"/>
      <w:pPr>
        <w:ind w:left="8236" w:hanging="360"/>
      </w:pPr>
    </w:lvl>
    <w:lvl w:ilvl="8" w:tplc="041D001B" w:tentative="1">
      <w:start w:val="1"/>
      <w:numFmt w:val="lowerRoman"/>
      <w:lvlText w:val="%9."/>
      <w:lvlJc w:val="right"/>
      <w:pPr>
        <w:ind w:left="8956" w:hanging="180"/>
      </w:pPr>
    </w:lvl>
  </w:abstractNum>
  <w:abstractNum w:abstractNumId="3" w15:restartNumberingAfterBreak="0">
    <w:nsid w:val="11FF15F1"/>
    <w:multiLevelType w:val="hybridMultilevel"/>
    <w:tmpl w:val="C7104BD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AF82CB2"/>
    <w:multiLevelType w:val="hybridMultilevel"/>
    <w:tmpl w:val="EBB4E3F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C03274D"/>
    <w:multiLevelType w:val="hybridMultilevel"/>
    <w:tmpl w:val="CE02BA8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4C2273FB"/>
    <w:multiLevelType w:val="multilevel"/>
    <w:tmpl w:val="5FD6EDA0"/>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Symbol" w:hAnsi="Symbol"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 w:numId="8">
    <w:abstractNumId w:val="5"/>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attachedTemplate r:id="rId1"/>
  <w:defaultTabStop w:val="28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BDE"/>
    <w:rsid w:val="000548B8"/>
    <w:rsid w:val="00072449"/>
    <w:rsid w:val="00091F39"/>
    <w:rsid w:val="000F699D"/>
    <w:rsid w:val="00111876"/>
    <w:rsid w:val="001329C7"/>
    <w:rsid w:val="002247AD"/>
    <w:rsid w:val="00234528"/>
    <w:rsid w:val="00236BFF"/>
    <w:rsid w:val="00260D8F"/>
    <w:rsid w:val="002B48F1"/>
    <w:rsid w:val="002B5184"/>
    <w:rsid w:val="002C7AE0"/>
    <w:rsid w:val="002D2605"/>
    <w:rsid w:val="00355C1D"/>
    <w:rsid w:val="003626F8"/>
    <w:rsid w:val="00362D1C"/>
    <w:rsid w:val="00371BDE"/>
    <w:rsid w:val="003E31E4"/>
    <w:rsid w:val="0040734A"/>
    <w:rsid w:val="0044131E"/>
    <w:rsid w:val="0046098F"/>
    <w:rsid w:val="00463E63"/>
    <w:rsid w:val="00487B1E"/>
    <w:rsid w:val="004900E8"/>
    <w:rsid w:val="004B0048"/>
    <w:rsid w:val="00515CA7"/>
    <w:rsid w:val="00522DFA"/>
    <w:rsid w:val="005357D7"/>
    <w:rsid w:val="00560C86"/>
    <w:rsid w:val="005632D6"/>
    <w:rsid w:val="00565B37"/>
    <w:rsid w:val="005D1CC8"/>
    <w:rsid w:val="005E6601"/>
    <w:rsid w:val="005E73BF"/>
    <w:rsid w:val="006060D6"/>
    <w:rsid w:val="006209A0"/>
    <w:rsid w:val="00643935"/>
    <w:rsid w:val="006464CD"/>
    <w:rsid w:val="00664786"/>
    <w:rsid w:val="006C2CF8"/>
    <w:rsid w:val="006C421B"/>
    <w:rsid w:val="006C4803"/>
    <w:rsid w:val="006C5CB9"/>
    <w:rsid w:val="006F0213"/>
    <w:rsid w:val="0071625F"/>
    <w:rsid w:val="00727C22"/>
    <w:rsid w:val="007353BD"/>
    <w:rsid w:val="007A35EE"/>
    <w:rsid w:val="007C7742"/>
    <w:rsid w:val="0081535F"/>
    <w:rsid w:val="00822FD8"/>
    <w:rsid w:val="0084033D"/>
    <w:rsid w:val="0086606A"/>
    <w:rsid w:val="008A67C3"/>
    <w:rsid w:val="008B36EF"/>
    <w:rsid w:val="008E5FB1"/>
    <w:rsid w:val="00920198"/>
    <w:rsid w:val="0094388F"/>
    <w:rsid w:val="009A120A"/>
    <w:rsid w:val="009A4501"/>
    <w:rsid w:val="009D2F77"/>
    <w:rsid w:val="009E0C03"/>
    <w:rsid w:val="009E79F8"/>
    <w:rsid w:val="009F208C"/>
    <w:rsid w:val="00A61606"/>
    <w:rsid w:val="00AC6403"/>
    <w:rsid w:val="00AD54BD"/>
    <w:rsid w:val="00B1574B"/>
    <w:rsid w:val="00BB1B9D"/>
    <w:rsid w:val="00C23E6F"/>
    <w:rsid w:val="00C33133"/>
    <w:rsid w:val="00C65360"/>
    <w:rsid w:val="00CA7509"/>
    <w:rsid w:val="00CC4032"/>
    <w:rsid w:val="00CE0467"/>
    <w:rsid w:val="00D31D63"/>
    <w:rsid w:val="00D36B1A"/>
    <w:rsid w:val="00D83BDF"/>
    <w:rsid w:val="00DF1BBD"/>
    <w:rsid w:val="00F20733"/>
    <w:rsid w:val="00F37B8D"/>
    <w:rsid w:val="00F9037E"/>
    <w:rsid w:val="00FA62E1"/>
    <w:rsid w:val="00FC491D"/>
    <w:rsid w:val="00FF5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048"/>
    <w:pPr>
      <w:tabs>
        <w:tab w:val="left" w:pos="1134"/>
        <w:tab w:val="left" w:pos="2268"/>
        <w:tab w:val="left" w:pos="3402"/>
        <w:tab w:val="left" w:pos="4536"/>
        <w:tab w:val="left" w:pos="5670"/>
      </w:tabs>
      <w:spacing w:after="120" w:line="240" w:lineRule="auto"/>
    </w:pPr>
    <w:rPr>
      <w:rFonts w:ascii="Book Antiqua" w:eastAsia="Times New Roman" w:hAnsi="Book Antiqua" w:cs="Times New Roman"/>
      <w:szCs w:val="20"/>
      <w:lang w:eastAsia="sv-SE"/>
    </w:rPr>
  </w:style>
  <w:style w:type="paragraph" w:styleId="Rubrik1">
    <w:name w:val="heading 1"/>
    <w:next w:val="Normal"/>
    <w:link w:val="Rubrik1Char"/>
    <w:uiPriority w:val="1"/>
    <w:qFormat/>
    <w:rsid w:val="008A67C3"/>
    <w:pPr>
      <w:keepNext/>
      <w:keepLines/>
      <w:spacing w:after="120" w:line="240" w:lineRule="auto"/>
      <w:outlineLvl w:val="0"/>
    </w:pPr>
    <w:rPr>
      <w:rFonts w:ascii="Verdana" w:eastAsiaTheme="majorEastAsia" w:hAnsi="Verdana" w:cstheme="majorBidi"/>
      <w:b/>
      <w:bCs/>
      <w:sz w:val="24"/>
      <w:szCs w:val="28"/>
    </w:rPr>
  </w:style>
  <w:style w:type="paragraph" w:styleId="Rubrik2">
    <w:name w:val="heading 2"/>
    <w:next w:val="Normal"/>
    <w:link w:val="Rubrik2Char"/>
    <w:uiPriority w:val="1"/>
    <w:qFormat/>
    <w:rsid w:val="008A67C3"/>
    <w:pPr>
      <w:keepNext/>
      <w:keepLines/>
      <w:spacing w:after="120" w:line="240" w:lineRule="auto"/>
      <w:outlineLvl w:val="1"/>
    </w:pPr>
    <w:rPr>
      <w:rFonts w:ascii="Verdana" w:eastAsiaTheme="majorEastAsia" w:hAnsi="Verdana" w:cstheme="majorBidi"/>
      <w:bCs/>
      <w:sz w:val="24"/>
      <w:szCs w:val="26"/>
    </w:rPr>
  </w:style>
  <w:style w:type="paragraph" w:styleId="Rubrik3">
    <w:name w:val="heading 3"/>
    <w:next w:val="Normal"/>
    <w:link w:val="Rubrik3Char"/>
    <w:uiPriority w:val="1"/>
    <w:qFormat/>
    <w:rsid w:val="008A67C3"/>
    <w:pPr>
      <w:keepNext/>
      <w:keepLines/>
      <w:spacing w:before="240" w:after="120" w:line="240" w:lineRule="auto"/>
      <w:outlineLvl w:val="2"/>
    </w:pPr>
    <w:rPr>
      <w:rFonts w:ascii="Verdana" w:eastAsiaTheme="majorEastAsia" w:hAnsi="Verdana" w:cstheme="majorBidi"/>
      <w:b/>
      <w:bCs/>
      <w:caps/>
      <w:sz w:val="16"/>
    </w:rPr>
  </w:style>
  <w:style w:type="paragraph" w:styleId="Rubrik4">
    <w:name w:val="heading 4"/>
    <w:basedOn w:val="Normal"/>
    <w:next w:val="Normal"/>
    <w:link w:val="Rubrik4Char"/>
    <w:uiPriority w:val="9"/>
    <w:semiHidden/>
    <w:qFormat/>
    <w:rsid w:val="009A120A"/>
    <w:pPr>
      <w:keepNext/>
      <w:keepLines/>
      <w:tabs>
        <w:tab w:val="clear" w:pos="1134"/>
        <w:tab w:val="clear" w:pos="2268"/>
        <w:tab w:val="clear" w:pos="3402"/>
        <w:tab w:val="clear" w:pos="4536"/>
        <w:tab w:val="clear" w:pos="5670"/>
      </w:tabs>
      <w:spacing w:before="200" w:after="0" w:line="270" w:lineRule="atLeast"/>
      <w:outlineLvl w:val="3"/>
    </w:pPr>
    <w:rPr>
      <w:rFonts w:asciiTheme="majorHAnsi" w:eastAsiaTheme="majorEastAsia" w:hAnsiTheme="majorHAnsi" w:cstheme="majorBidi"/>
      <w:b/>
      <w:bCs/>
      <w:i/>
      <w:iCs/>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8A67C3"/>
    <w:rPr>
      <w:rFonts w:ascii="Verdana" w:eastAsiaTheme="majorEastAsia" w:hAnsi="Verdana" w:cstheme="majorBidi"/>
      <w:b/>
      <w:bCs/>
      <w:sz w:val="24"/>
      <w:szCs w:val="28"/>
    </w:rPr>
  </w:style>
  <w:style w:type="character" w:customStyle="1" w:styleId="Rubrik2Char">
    <w:name w:val="Rubrik 2 Char"/>
    <w:basedOn w:val="Standardstycketeckensnitt"/>
    <w:link w:val="Rubrik2"/>
    <w:uiPriority w:val="1"/>
    <w:rsid w:val="008A67C3"/>
    <w:rPr>
      <w:rFonts w:ascii="Verdana" w:eastAsiaTheme="majorEastAsia" w:hAnsi="Verdana" w:cstheme="majorBidi"/>
      <w:bCs/>
      <w:sz w:val="24"/>
      <w:szCs w:val="26"/>
    </w:rPr>
  </w:style>
  <w:style w:type="paragraph" w:styleId="Rubrik">
    <w:name w:val="Title"/>
    <w:next w:val="Normal"/>
    <w:link w:val="RubrikChar"/>
    <w:uiPriority w:val="10"/>
    <w:qFormat/>
    <w:rsid w:val="009D2F77"/>
    <w:pPr>
      <w:spacing w:after="360" w:line="240" w:lineRule="auto"/>
    </w:pPr>
    <w:rPr>
      <w:rFonts w:ascii="Verdana" w:eastAsiaTheme="majorEastAsia" w:hAnsi="Verdana" w:cstheme="majorBidi"/>
      <w:b/>
      <w:bCs/>
      <w:sz w:val="40"/>
      <w:szCs w:val="28"/>
    </w:rPr>
  </w:style>
  <w:style w:type="character" w:customStyle="1" w:styleId="RubrikChar">
    <w:name w:val="Rubrik Char"/>
    <w:basedOn w:val="Standardstycketeckensnitt"/>
    <w:link w:val="Rubrik"/>
    <w:uiPriority w:val="10"/>
    <w:rsid w:val="009D2F77"/>
    <w:rPr>
      <w:rFonts w:ascii="Verdana" w:eastAsiaTheme="majorEastAsia" w:hAnsi="Verdana" w:cstheme="majorBidi"/>
      <w:b/>
      <w:bCs/>
      <w:sz w:val="40"/>
      <w:szCs w:val="28"/>
    </w:rPr>
  </w:style>
  <w:style w:type="paragraph" w:styleId="Underrubrik">
    <w:name w:val="Subtitle"/>
    <w:next w:val="Normal"/>
    <w:link w:val="UnderrubrikChar"/>
    <w:uiPriority w:val="11"/>
    <w:qFormat/>
    <w:rsid w:val="009D2F77"/>
    <w:pPr>
      <w:spacing w:after="60" w:line="240" w:lineRule="auto"/>
    </w:pPr>
    <w:rPr>
      <w:rFonts w:ascii="Verdana" w:eastAsiaTheme="majorEastAsia" w:hAnsi="Verdana" w:cstheme="majorBidi"/>
      <w:bCs/>
      <w:sz w:val="30"/>
      <w:szCs w:val="26"/>
    </w:rPr>
  </w:style>
  <w:style w:type="character" w:customStyle="1" w:styleId="UnderrubrikChar">
    <w:name w:val="Underrubrik Char"/>
    <w:basedOn w:val="Standardstycketeckensnitt"/>
    <w:link w:val="Underrubrik"/>
    <w:uiPriority w:val="11"/>
    <w:rsid w:val="009D2F77"/>
    <w:rPr>
      <w:rFonts w:ascii="Verdana" w:eastAsiaTheme="majorEastAsia" w:hAnsi="Verdana" w:cstheme="majorBidi"/>
      <w:bCs/>
      <w:sz w:val="30"/>
      <w:szCs w:val="26"/>
    </w:rPr>
  </w:style>
  <w:style w:type="character" w:customStyle="1" w:styleId="Rubrik3Char">
    <w:name w:val="Rubrik 3 Char"/>
    <w:basedOn w:val="Standardstycketeckensnitt"/>
    <w:link w:val="Rubrik3"/>
    <w:uiPriority w:val="1"/>
    <w:rsid w:val="008A67C3"/>
    <w:rPr>
      <w:rFonts w:ascii="Verdana" w:eastAsiaTheme="majorEastAsia" w:hAnsi="Verdana" w:cstheme="majorBidi"/>
      <w:b/>
      <w:bCs/>
      <w:caps/>
      <w:sz w:val="16"/>
    </w:rPr>
  </w:style>
  <w:style w:type="paragraph" w:customStyle="1" w:styleId="Ingress">
    <w:name w:val="Ingress"/>
    <w:uiPriority w:val="2"/>
    <w:qFormat/>
    <w:rsid w:val="008A67C3"/>
    <w:pPr>
      <w:spacing w:after="480" w:line="240" w:lineRule="auto"/>
    </w:pPr>
    <w:rPr>
      <w:rFonts w:ascii="Book Antiqua" w:eastAsiaTheme="majorEastAsia" w:hAnsi="Book Antiqua" w:cstheme="majorBidi"/>
      <w:b/>
      <w:bCs/>
      <w:sz w:val="24"/>
    </w:rPr>
  </w:style>
  <w:style w:type="paragraph" w:customStyle="1" w:styleId="Normal2">
    <w:name w:val="Normal 2"/>
    <w:basedOn w:val="Normal"/>
    <w:rsid w:val="002C7AE0"/>
    <w:pPr>
      <w:tabs>
        <w:tab w:val="clear" w:pos="1134"/>
        <w:tab w:val="clear" w:pos="2268"/>
        <w:tab w:val="clear" w:pos="3402"/>
        <w:tab w:val="clear" w:pos="4536"/>
        <w:tab w:val="clear" w:pos="5670"/>
      </w:tabs>
      <w:spacing w:after="200" w:line="250" w:lineRule="atLeast"/>
    </w:pPr>
    <w:rPr>
      <w:rFonts w:eastAsiaTheme="minorHAnsi" w:cstheme="minorBidi"/>
      <w:szCs w:val="22"/>
      <w:lang w:eastAsia="en-US"/>
    </w:rPr>
  </w:style>
  <w:style w:type="paragraph" w:styleId="Fotnotstext">
    <w:name w:val="footnote text"/>
    <w:basedOn w:val="Normal"/>
    <w:link w:val="FotnotstextChar"/>
    <w:uiPriority w:val="99"/>
    <w:rsid w:val="009A120A"/>
    <w:pPr>
      <w:tabs>
        <w:tab w:val="clear" w:pos="1134"/>
        <w:tab w:val="clear" w:pos="2268"/>
        <w:tab w:val="clear" w:pos="3402"/>
        <w:tab w:val="clear" w:pos="4536"/>
        <w:tab w:val="clear" w:pos="5670"/>
      </w:tabs>
      <w:spacing w:after="0"/>
    </w:pPr>
    <w:rPr>
      <w:rFonts w:eastAsiaTheme="minorHAnsi" w:cstheme="minorBidi"/>
      <w:sz w:val="14"/>
      <w:lang w:eastAsia="en-US"/>
    </w:rPr>
  </w:style>
  <w:style w:type="character" w:customStyle="1" w:styleId="FotnotstextChar">
    <w:name w:val="Fotnotstext Char"/>
    <w:basedOn w:val="Standardstycketeckensnitt"/>
    <w:link w:val="Fotnotstext"/>
    <w:uiPriority w:val="99"/>
    <w:rsid w:val="009D2F77"/>
    <w:rPr>
      <w:rFonts w:ascii="Book Antiqua" w:hAnsi="Book Antiqua"/>
      <w:sz w:val="14"/>
      <w:szCs w:val="20"/>
    </w:rPr>
  </w:style>
  <w:style w:type="character" w:styleId="Fotnotsreferens">
    <w:name w:val="footnote reference"/>
    <w:basedOn w:val="Standardstycketeckensnitt"/>
    <w:uiPriority w:val="99"/>
    <w:semiHidden/>
    <w:unhideWhenUsed/>
    <w:rsid w:val="009A120A"/>
    <w:rPr>
      <w:vertAlign w:val="superscript"/>
    </w:rPr>
  </w:style>
  <w:style w:type="paragraph" w:styleId="Ballongtext">
    <w:name w:val="Balloon Text"/>
    <w:basedOn w:val="Normal"/>
    <w:link w:val="BallongtextChar"/>
    <w:uiPriority w:val="99"/>
    <w:semiHidden/>
    <w:unhideWhenUsed/>
    <w:rsid w:val="009A120A"/>
    <w:pPr>
      <w:tabs>
        <w:tab w:val="clear" w:pos="1134"/>
        <w:tab w:val="clear" w:pos="2268"/>
        <w:tab w:val="clear" w:pos="3402"/>
        <w:tab w:val="clear" w:pos="4536"/>
        <w:tab w:val="clear" w:pos="5670"/>
      </w:tabs>
      <w:spacing w:after="0"/>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A120A"/>
    <w:rPr>
      <w:rFonts w:ascii="Tahoma" w:hAnsi="Tahoma" w:cs="Tahoma"/>
      <w:sz w:val="16"/>
      <w:szCs w:val="16"/>
    </w:rPr>
  </w:style>
  <w:style w:type="character" w:customStyle="1" w:styleId="Rubrik4Char">
    <w:name w:val="Rubrik 4 Char"/>
    <w:basedOn w:val="Standardstycketeckensnitt"/>
    <w:link w:val="Rubrik4"/>
    <w:uiPriority w:val="9"/>
    <w:semiHidden/>
    <w:rsid w:val="009A120A"/>
    <w:rPr>
      <w:rFonts w:asciiTheme="majorHAnsi" w:eastAsiaTheme="majorEastAsia" w:hAnsiTheme="majorHAnsi" w:cstheme="majorBidi"/>
      <w:b/>
      <w:bCs/>
      <w:i/>
      <w:iCs/>
      <w:sz w:val="20"/>
    </w:rPr>
  </w:style>
  <w:style w:type="paragraph" w:customStyle="1" w:styleId="Titel">
    <w:name w:val="Titel"/>
    <w:uiPriority w:val="2"/>
    <w:rsid w:val="009A120A"/>
    <w:rPr>
      <w:rFonts w:ascii="Verdana" w:hAnsi="Verdana"/>
      <w:b/>
      <w:color w:val="7DB61C"/>
      <w:sz w:val="72"/>
    </w:rPr>
  </w:style>
  <w:style w:type="paragraph" w:styleId="Sidhuvud">
    <w:name w:val="header"/>
    <w:basedOn w:val="Normal"/>
    <w:link w:val="SidhuvudChar"/>
    <w:uiPriority w:val="99"/>
    <w:unhideWhenUsed/>
    <w:rsid w:val="009A120A"/>
    <w:pPr>
      <w:tabs>
        <w:tab w:val="clear" w:pos="1134"/>
        <w:tab w:val="clear" w:pos="2268"/>
        <w:tab w:val="clear" w:pos="3402"/>
        <w:tab w:val="clear" w:pos="5670"/>
        <w:tab w:val="center" w:pos="4536"/>
        <w:tab w:val="right" w:pos="9072"/>
      </w:tabs>
      <w:spacing w:after="0"/>
    </w:pPr>
    <w:rPr>
      <w:rFonts w:eastAsiaTheme="minorHAnsi" w:cstheme="minorBidi"/>
      <w:szCs w:val="22"/>
      <w:lang w:eastAsia="en-US"/>
    </w:rPr>
  </w:style>
  <w:style w:type="character" w:customStyle="1" w:styleId="SidhuvudChar">
    <w:name w:val="Sidhuvud Char"/>
    <w:basedOn w:val="Standardstycketeckensnitt"/>
    <w:link w:val="Sidhuvud"/>
    <w:uiPriority w:val="99"/>
    <w:rsid w:val="009A120A"/>
    <w:rPr>
      <w:rFonts w:ascii="Book Antiqua" w:hAnsi="Book Antiqua"/>
      <w:sz w:val="20"/>
    </w:rPr>
  </w:style>
  <w:style w:type="paragraph" w:styleId="Sidfot">
    <w:name w:val="footer"/>
    <w:link w:val="SidfotChar"/>
    <w:uiPriority w:val="99"/>
    <w:unhideWhenUsed/>
    <w:rsid w:val="009A120A"/>
    <w:pPr>
      <w:tabs>
        <w:tab w:val="center" w:pos="4536"/>
        <w:tab w:val="right" w:pos="9072"/>
      </w:tabs>
      <w:spacing w:after="0" w:line="180" w:lineRule="atLeast"/>
    </w:pPr>
    <w:rPr>
      <w:rFonts w:ascii="Verdana" w:hAnsi="Verdana"/>
      <w:sz w:val="14"/>
    </w:rPr>
  </w:style>
  <w:style w:type="character" w:customStyle="1" w:styleId="SidfotChar">
    <w:name w:val="Sidfot Char"/>
    <w:basedOn w:val="Standardstycketeckensnitt"/>
    <w:link w:val="Sidfot"/>
    <w:uiPriority w:val="99"/>
    <w:rsid w:val="009A120A"/>
    <w:rPr>
      <w:rFonts w:ascii="Verdana" w:hAnsi="Verdana"/>
      <w:sz w:val="14"/>
    </w:rPr>
  </w:style>
  <w:style w:type="paragraph" w:styleId="Punktlista">
    <w:name w:val="List Bullet"/>
    <w:basedOn w:val="Normal"/>
    <w:qFormat/>
    <w:rsid w:val="002C7AE0"/>
    <w:pPr>
      <w:numPr>
        <w:numId w:val="1"/>
      </w:numPr>
      <w:tabs>
        <w:tab w:val="clear" w:pos="1134"/>
        <w:tab w:val="clear" w:pos="2268"/>
        <w:tab w:val="clear" w:pos="3402"/>
        <w:tab w:val="clear" w:pos="4536"/>
        <w:tab w:val="clear" w:pos="5670"/>
      </w:tabs>
      <w:spacing w:after="200"/>
      <w:ind w:left="170" w:hanging="170"/>
      <w:contextualSpacing/>
    </w:pPr>
    <w:rPr>
      <w:rFonts w:eastAsiaTheme="minorHAnsi" w:cstheme="minorBidi"/>
      <w:szCs w:val="22"/>
      <w:lang w:eastAsia="en-US"/>
    </w:rPr>
  </w:style>
  <w:style w:type="paragraph" w:styleId="Punktlista2">
    <w:name w:val="List Bullet 2"/>
    <w:basedOn w:val="Normal"/>
    <w:rsid w:val="002C7AE0"/>
    <w:pPr>
      <w:numPr>
        <w:ilvl w:val="1"/>
        <w:numId w:val="1"/>
      </w:numPr>
      <w:tabs>
        <w:tab w:val="clear" w:pos="1134"/>
        <w:tab w:val="clear" w:pos="2268"/>
        <w:tab w:val="clear" w:pos="3402"/>
        <w:tab w:val="clear" w:pos="4536"/>
        <w:tab w:val="clear" w:pos="5670"/>
      </w:tabs>
      <w:spacing w:after="200"/>
      <w:ind w:left="340" w:hanging="170"/>
      <w:contextualSpacing/>
    </w:pPr>
    <w:rPr>
      <w:rFonts w:eastAsiaTheme="minorHAnsi" w:cstheme="minorBidi"/>
      <w:szCs w:val="22"/>
      <w:lang w:eastAsia="en-US"/>
    </w:rPr>
  </w:style>
  <w:style w:type="paragraph" w:styleId="Punktlista3">
    <w:name w:val="List Bullet 3"/>
    <w:basedOn w:val="Normal"/>
    <w:rsid w:val="002C7AE0"/>
    <w:pPr>
      <w:numPr>
        <w:ilvl w:val="2"/>
        <w:numId w:val="1"/>
      </w:numPr>
      <w:tabs>
        <w:tab w:val="clear" w:pos="1134"/>
        <w:tab w:val="clear" w:pos="2268"/>
        <w:tab w:val="clear" w:pos="3402"/>
        <w:tab w:val="clear" w:pos="4536"/>
        <w:tab w:val="clear" w:pos="5670"/>
      </w:tabs>
      <w:spacing w:after="200"/>
      <w:ind w:left="510" w:hanging="170"/>
      <w:contextualSpacing/>
    </w:pPr>
    <w:rPr>
      <w:rFonts w:eastAsiaTheme="minorHAnsi" w:cstheme="minorBidi"/>
      <w:szCs w:val="22"/>
      <w:lang w:eastAsia="en-US"/>
    </w:rPr>
  </w:style>
  <w:style w:type="table" w:styleId="Tabellrutnt">
    <w:name w:val="Table Grid"/>
    <w:basedOn w:val="Normaltabell"/>
    <w:uiPriority w:val="59"/>
    <w:rsid w:val="0011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B36EF"/>
    <w:rPr>
      <w:color w:val="808080"/>
    </w:rPr>
  </w:style>
  <w:style w:type="paragraph" w:customStyle="1" w:styleId="Bildtext">
    <w:name w:val="Bildtext"/>
    <w:basedOn w:val="Normal"/>
    <w:next w:val="Normal"/>
    <w:uiPriority w:val="12"/>
    <w:qFormat/>
    <w:rsid w:val="0094388F"/>
    <w:pPr>
      <w:tabs>
        <w:tab w:val="clear" w:pos="1134"/>
        <w:tab w:val="clear" w:pos="2268"/>
        <w:tab w:val="clear" w:pos="3402"/>
        <w:tab w:val="clear" w:pos="4536"/>
        <w:tab w:val="clear" w:pos="5670"/>
      </w:tabs>
      <w:spacing w:after="0"/>
    </w:pPr>
    <w:rPr>
      <w:rFonts w:eastAsiaTheme="minorHAnsi" w:cstheme="minorBidi"/>
      <w:bCs/>
      <w:i/>
      <w:sz w:val="16"/>
      <w:szCs w:val="18"/>
      <w:lang w:eastAsia="en-US"/>
    </w:rPr>
  </w:style>
  <w:style w:type="paragraph" w:customStyle="1" w:styleId="Adressat">
    <w:name w:val="Adressat"/>
    <w:basedOn w:val="Normal"/>
    <w:rsid w:val="002B5184"/>
    <w:pPr>
      <w:tabs>
        <w:tab w:val="clear" w:pos="1134"/>
        <w:tab w:val="clear" w:pos="2268"/>
        <w:tab w:val="clear" w:pos="3402"/>
        <w:tab w:val="clear" w:pos="4536"/>
        <w:tab w:val="clear" w:pos="5670"/>
      </w:tabs>
      <w:spacing w:after="0"/>
    </w:pPr>
  </w:style>
  <w:style w:type="paragraph" w:customStyle="1" w:styleId="KomplDokn">
    <w:name w:val="Kompl. Dokn."/>
    <w:basedOn w:val="Normal"/>
    <w:next w:val="Datum"/>
    <w:rsid w:val="002B5184"/>
    <w:pPr>
      <w:tabs>
        <w:tab w:val="clear" w:pos="1134"/>
        <w:tab w:val="clear" w:pos="2268"/>
        <w:tab w:val="clear" w:pos="3402"/>
        <w:tab w:val="clear" w:pos="4536"/>
        <w:tab w:val="clear" w:pos="5670"/>
      </w:tabs>
    </w:pPr>
  </w:style>
  <w:style w:type="paragraph" w:styleId="Datum">
    <w:name w:val="Date"/>
    <w:basedOn w:val="Normal"/>
    <w:link w:val="DatumChar"/>
    <w:rsid w:val="002B5184"/>
    <w:pPr>
      <w:framePr w:w="10490" w:wrap="around" w:hAnchor="text" w:yAlign="top"/>
      <w:tabs>
        <w:tab w:val="clear" w:pos="1134"/>
        <w:tab w:val="clear" w:pos="2268"/>
        <w:tab w:val="clear" w:pos="3402"/>
        <w:tab w:val="clear" w:pos="4536"/>
        <w:tab w:val="clear" w:pos="5670"/>
      </w:tabs>
    </w:pPr>
  </w:style>
  <w:style w:type="character" w:customStyle="1" w:styleId="DatumChar">
    <w:name w:val="Datum Char"/>
    <w:basedOn w:val="Standardstycketeckensnitt"/>
    <w:link w:val="Datum"/>
    <w:rsid w:val="002B5184"/>
    <w:rPr>
      <w:rFonts w:ascii="Book Antiqua" w:eastAsia="Times New Roman" w:hAnsi="Book Antiqua" w:cs="Times New Roman"/>
      <w:sz w:val="24"/>
      <w:szCs w:val="20"/>
      <w:lang w:eastAsia="sv-SE"/>
    </w:rPr>
  </w:style>
  <w:style w:type="paragraph" w:customStyle="1" w:styleId="Beteckning">
    <w:name w:val="Beteckning"/>
    <w:basedOn w:val="Normal"/>
    <w:rsid w:val="002B5184"/>
    <w:pPr>
      <w:tabs>
        <w:tab w:val="clear" w:pos="1134"/>
        <w:tab w:val="clear" w:pos="2268"/>
        <w:tab w:val="clear" w:pos="3402"/>
        <w:tab w:val="clear" w:pos="4536"/>
        <w:tab w:val="clear" w:pos="5670"/>
      </w:tabs>
    </w:pPr>
    <w:rPr>
      <w:rFonts w:ascii="Book Antiqua Fet" w:hAnsi="Book Antiqua Fet"/>
      <w:b/>
    </w:rPr>
  </w:style>
  <w:style w:type="paragraph" w:customStyle="1" w:styleId="Delgivning">
    <w:name w:val="Delgivning"/>
    <w:basedOn w:val="Normal"/>
    <w:rsid w:val="002B5184"/>
    <w:pPr>
      <w:tabs>
        <w:tab w:val="clear" w:pos="1134"/>
        <w:tab w:val="clear" w:pos="2268"/>
        <w:tab w:val="clear" w:pos="3402"/>
        <w:tab w:val="clear" w:pos="4536"/>
        <w:tab w:val="clear" w:pos="5670"/>
      </w:tabs>
      <w:spacing w:after="0"/>
    </w:pPr>
    <w:rPr>
      <w:sz w:val="20"/>
    </w:rPr>
  </w:style>
  <w:style w:type="paragraph" w:customStyle="1" w:styleId="rendemening">
    <w:name w:val="Ärendemening"/>
    <w:basedOn w:val="Normal"/>
    <w:next w:val="Normal"/>
    <w:rsid w:val="002B5184"/>
    <w:pPr>
      <w:keepNext/>
      <w:spacing w:before="960"/>
    </w:pPr>
    <w:rPr>
      <w:b/>
      <w:sz w:val="26"/>
    </w:rPr>
  </w:style>
  <w:style w:type="paragraph" w:customStyle="1" w:styleId="Tilltal">
    <w:name w:val="Tilltal"/>
    <w:basedOn w:val="Normal"/>
    <w:next w:val="Normal"/>
    <w:rsid w:val="002B5184"/>
    <w:pPr>
      <w:tabs>
        <w:tab w:val="clear" w:pos="1134"/>
        <w:tab w:val="clear" w:pos="2268"/>
        <w:tab w:val="clear" w:pos="3402"/>
        <w:tab w:val="clear" w:pos="4536"/>
        <w:tab w:val="clear" w:pos="5670"/>
      </w:tabs>
      <w:spacing w:after="0"/>
    </w:pPr>
  </w:style>
  <w:style w:type="paragraph" w:customStyle="1" w:styleId="Hlsning">
    <w:name w:val="Hälsning"/>
    <w:basedOn w:val="Normal"/>
    <w:next w:val="Normal"/>
    <w:rsid w:val="002B5184"/>
    <w:pPr>
      <w:tabs>
        <w:tab w:val="clear" w:pos="1134"/>
        <w:tab w:val="clear" w:pos="2268"/>
        <w:tab w:val="clear" w:pos="3402"/>
        <w:tab w:val="clear" w:pos="4536"/>
        <w:tab w:val="clear" w:pos="5670"/>
      </w:tabs>
      <w:spacing w:before="600"/>
    </w:pPr>
  </w:style>
  <w:style w:type="paragraph" w:customStyle="1" w:styleId="Piska">
    <w:name w:val="Piska"/>
    <w:basedOn w:val="Normal"/>
    <w:next w:val="Normal"/>
    <w:rsid w:val="002B5184"/>
    <w:pPr>
      <w:ind w:hanging="567"/>
    </w:pPr>
  </w:style>
  <w:style w:type="paragraph" w:styleId="Liststycke">
    <w:name w:val="List Paragraph"/>
    <w:basedOn w:val="Normal"/>
    <w:uiPriority w:val="34"/>
    <w:qFormat/>
    <w:rsid w:val="00822FD8"/>
    <w:pPr>
      <w:ind w:left="720"/>
      <w:contextualSpacing/>
    </w:pPr>
  </w:style>
  <w:style w:type="character" w:styleId="Kommentarsreferens">
    <w:name w:val="annotation reference"/>
    <w:basedOn w:val="Standardstycketeckensnitt"/>
    <w:uiPriority w:val="99"/>
    <w:semiHidden/>
    <w:unhideWhenUsed/>
    <w:rsid w:val="001329C7"/>
    <w:rPr>
      <w:sz w:val="16"/>
      <w:szCs w:val="16"/>
    </w:rPr>
  </w:style>
  <w:style w:type="paragraph" w:styleId="Kommentarer">
    <w:name w:val="annotation text"/>
    <w:basedOn w:val="Normal"/>
    <w:link w:val="KommentarerChar"/>
    <w:uiPriority w:val="99"/>
    <w:semiHidden/>
    <w:unhideWhenUsed/>
    <w:rsid w:val="001329C7"/>
    <w:rPr>
      <w:sz w:val="20"/>
    </w:rPr>
  </w:style>
  <w:style w:type="character" w:customStyle="1" w:styleId="KommentarerChar">
    <w:name w:val="Kommentarer Char"/>
    <w:basedOn w:val="Standardstycketeckensnitt"/>
    <w:link w:val="Kommentarer"/>
    <w:uiPriority w:val="99"/>
    <w:semiHidden/>
    <w:rsid w:val="001329C7"/>
    <w:rPr>
      <w:rFonts w:ascii="Book Antiqua" w:eastAsia="Times New Roman" w:hAnsi="Book Antiqua"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1329C7"/>
    <w:rPr>
      <w:b/>
      <w:bCs/>
    </w:rPr>
  </w:style>
  <w:style w:type="character" w:customStyle="1" w:styleId="KommentarsmneChar">
    <w:name w:val="Kommentarsämne Char"/>
    <w:basedOn w:val="KommentarerChar"/>
    <w:link w:val="Kommentarsmne"/>
    <w:uiPriority w:val="99"/>
    <w:semiHidden/>
    <w:rsid w:val="001329C7"/>
    <w:rPr>
      <w:rFonts w:ascii="Book Antiqua" w:eastAsia="Times New Roman" w:hAnsi="Book Antiqua"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Office14\LM%20Templates\Allm&#228;nt\2014_Dokumen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ntmäteriet">
      <a:majorFont>
        <a:latin typeface="Verdan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46505-85CA-4E98-BFD4-D576DF4D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2014_Dokument.dotx</Template>
  <TotalTime>0</TotalTime>
  <Pages>5</Pages>
  <Words>1256</Words>
  <Characters>6659</Characters>
  <Application>Microsoft Office Word</Application>
  <DocSecurity>4</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2016-10-06T19:22:00Z</dcterms:created>
  <dcterms:modified xsi:type="dcterms:W3CDTF">2016-10-06T19:22:00Z</dcterms:modified>
</cp:coreProperties>
</file>